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C899" w14:textId="77777777" w:rsidR="008359B5" w:rsidRDefault="008359B5" w:rsidP="00190CD7">
      <w:pPr>
        <w:spacing w:after="240"/>
        <w:jc w:val="both"/>
      </w:pPr>
    </w:p>
    <w:tbl>
      <w:tblPr>
        <w:tblW w:w="9752" w:type="dxa"/>
        <w:tblBorders>
          <w:top w:val="single" w:sz="2" w:space="0" w:color="1E7A34"/>
          <w:left w:val="single" w:sz="2" w:space="0" w:color="1E7A34"/>
          <w:bottom w:val="single" w:sz="2" w:space="0" w:color="1E7A34"/>
          <w:right w:val="single" w:sz="2" w:space="0" w:color="1E7A3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8359B5" w14:paraId="1C58C263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2" w:space="0" w:color="1E7A34"/>
              <w:left w:val="single" w:sz="2" w:space="0" w:color="1E7A34"/>
              <w:bottom w:val="single" w:sz="2" w:space="0" w:color="1E7A34"/>
              <w:right w:val="single" w:sz="2" w:space="0" w:color="1E7A34"/>
            </w:tcBorders>
            <w:shd w:val="clear" w:color="auto" w:fill="1E7A34"/>
            <w:tcMar>
              <w:top w:w="320" w:type="dxa"/>
              <w:left w:w="300" w:type="dxa"/>
              <w:bottom w:w="320" w:type="dxa"/>
              <w:right w:w="300" w:type="dxa"/>
            </w:tcMar>
          </w:tcPr>
          <w:p w14:paraId="163D6349" w14:textId="77777777" w:rsidR="008359B5" w:rsidRDefault="00000000" w:rsidP="00190CD7">
            <w:pPr>
              <w:spacing w:after="100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6"/>
                <w:szCs w:val="16"/>
              </w:rPr>
              <w:t>AI-ALSTRATÉGIA · A GAZDASÁG- ÉS VERSENYKÉPESSÉG-FEJLESZTŐ STRATÉGIA RÉSZE</w:t>
            </w:r>
          </w:p>
          <w:p w14:paraId="4C16A8DB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34"/>
                <w:szCs w:val="34"/>
              </w:rPr>
              <w:t>Mesterséges intelligencia a magyar KKV-k szolgálatában</w:t>
            </w:r>
          </w:p>
        </w:tc>
      </w:tr>
    </w:tbl>
    <w:p w14:paraId="142607DD" w14:textId="77777777" w:rsidR="008359B5" w:rsidRDefault="008359B5" w:rsidP="00190CD7">
      <w:pPr>
        <w:spacing w:after="260"/>
        <w:jc w:val="both"/>
      </w:pPr>
    </w:p>
    <w:p w14:paraId="12087018" w14:textId="77777777" w:rsidR="008359B5" w:rsidRDefault="00000000" w:rsidP="00190CD7">
      <w:pPr>
        <w:spacing w:after="120" w:line="300" w:lineRule="auto"/>
        <w:jc w:val="both"/>
      </w:pPr>
      <w:r>
        <w:rPr>
          <w:rFonts w:ascii="Corbel" w:eastAsia="Corbel" w:hAnsi="Corbel" w:cs="Corbel"/>
          <w:color w:val="404040"/>
          <w:sz w:val="27"/>
          <w:szCs w:val="27"/>
        </w:rPr>
        <w:t>Hogyan használjuk az AI-t okosan, megfizethetően és széles körben — szűkös erőforrások mellett</w:t>
      </w:r>
    </w:p>
    <w:p w14:paraId="68C11525" w14:textId="77777777" w:rsidR="008359B5" w:rsidRDefault="00000000" w:rsidP="00190CD7">
      <w:pPr>
        <w:spacing w:after="320"/>
        <w:jc w:val="both"/>
      </w:pPr>
      <w:r>
        <w:rPr>
          <w:i/>
          <w:iCs/>
          <w:color w:val="C7A14A"/>
        </w:rPr>
        <w:t xml:space="preserve">Célállapot: </w:t>
      </w:r>
      <w:proofErr w:type="gramStart"/>
      <w:r>
        <w:rPr>
          <w:i/>
          <w:iCs/>
          <w:color w:val="C7A14A"/>
        </w:rPr>
        <w:t>2036  ·</w:t>
      </w:r>
      <w:proofErr w:type="gramEnd"/>
      <w:r>
        <w:rPr>
          <w:i/>
          <w:iCs/>
          <w:color w:val="C7A14A"/>
        </w:rPr>
        <w:t xml:space="preserve">  középtávú fordulópont: 2031</w:t>
      </w:r>
    </w:p>
    <w:p w14:paraId="525510C5" w14:textId="77777777" w:rsidR="008359B5" w:rsidRDefault="00000000" w:rsidP="00190CD7">
      <w:pPr>
        <w:spacing w:after="40"/>
        <w:jc w:val="both"/>
      </w:pPr>
      <w:r>
        <w:rPr>
          <w:rFonts w:ascii="Corbel" w:eastAsia="Corbel" w:hAnsi="Corbel" w:cs="Corbel"/>
          <w:b/>
          <w:bCs/>
          <w:color w:val="1E7A34"/>
          <w:sz w:val="25"/>
          <w:szCs w:val="25"/>
        </w:rPr>
        <w:t>MAGYAR FENNTARTHATÓSÁGI KÖZPONT Alapítvány — MFKA</w:t>
      </w:r>
    </w:p>
    <w:p w14:paraId="247137B9" w14:textId="77777777" w:rsidR="008359B5" w:rsidRDefault="00000000" w:rsidP="00190CD7">
      <w:pPr>
        <w:spacing w:after="360"/>
        <w:jc w:val="both"/>
      </w:pPr>
      <w:r>
        <w:rPr>
          <w:i/>
          <w:iCs/>
          <w:color w:val="6F6F6F"/>
        </w:rPr>
        <w:t>A 4.3. pillér (Technológia, AI és digitális diffúzió) részletes kifejtése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152"/>
      </w:tblGrid>
      <w:tr w:rsidR="008359B5" w14:paraId="5A3B2F2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6738C1A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Verzió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9D27765" w14:textId="77777777" w:rsidR="008359B5" w:rsidRDefault="00000000" w:rsidP="00190CD7">
            <w:pPr>
              <w:jc w:val="both"/>
            </w:pPr>
            <w:r>
              <w:rPr>
                <w:sz w:val="20"/>
                <w:szCs w:val="20"/>
              </w:rPr>
              <w:t>v0.2</w:t>
            </w:r>
          </w:p>
        </w:tc>
      </w:tr>
      <w:tr w:rsidR="008359B5" w14:paraId="106C7A8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B8C3C90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Dátum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DFC3AE7" w14:textId="77777777" w:rsidR="008359B5" w:rsidRDefault="00000000" w:rsidP="00190CD7">
            <w:pPr>
              <w:jc w:val="both"/>
            </w:pPr>
            <w:r>
              <w:rPr>
                <w:sz w:val="20"/>
                <w:szCs w:val="20"/>
              </w:rPr>
              <w:t>2026. június</w:t>
            </w:r>
          </w:p>
        </w:tc>
      </w:tr>
      <w:tr w:rsidR="008359B5" w14:paraId="794DE33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CA62367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Státusz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CA8F863" w14:textId="77777777" w:rsidR="008359B5" w:rsidRDefault="00000000" w:rsidP="00190CD7">
            <w:pPr>
              <w:jc w:val="both"/>
            </w:pPr>
            <w:r>
              <w:rPr>
                <w:sz w:val="20"/>
                <w:szCs w:val="20"/>
              </w:rPr>
              <w:t>Tervezet — AI-alstratégia (közérthető változat)</w:t>
            </w:r>
          </w:p>
        </w:tc>
      </w:tr>
      <w:tr w:rsidR="008359B5" w14:paraId="74F9069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C130C40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Minősítés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1C9C78B" w14:textId="77777777" w:rsidR="008359B5" w:rsidRDefault="00000000" w:rsidP="00190CD7">
            <w:pPr>
              <w:jc w:val="both"/>
            </w:pPr>
            <w:r>
              <w:rPr>
                <w:sz w:val="20"/>
                <w:szCs w:val="20"/>
              </w:rPr>
              <w:t>Munkaanyag — egyeztetésre</w:t>
            </w:r>
          </w:p>
        </w:tc>
      </w:tr>
      <w:tr w:rsidR="008359B5" w14:paraId="737D9E0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07EF307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Felelős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13E061E" w14:textId="77777777" w:rsidR="008359B5" w:rsidRDefault="00000000" w:rsidP="00190CD7">
            <w:pPr>
              <w:jc w:val="both"/>
            </w:pPr>
            <w:proofErr w:type="spellStart"/>
            <w:r>
              <w:rPr>
                <w:sz w:val="20"/>
                <w:szCs w:val="20"/>
              </w:rPr>
              <w:t>Szekfü</w:t>
            </w:r>
            <w:proofErr w:type="spellEnd"/>
            <w:r>
              <w:rPr>
                <w:sz w:val="20"/>
                <w:szCs w:val="20"/>
              </w:rPr>
              <w:t xml:space="preserve"> Tibor főigazgató · Vonnák Péter ügyvezető igazgató</w:t>
            </w:r>
          </w:p>
        </w:tc>
      </w:tr>
      <w:tr w:rsidR="008359B5" w14:paraId="70F0A80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524CA43" w14:textId="77777777" w:rsidR="008359B5" w:rsidRDefault="00000000" w:rsidP="00190CD7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Dokumentumgazda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F704414" w14:textId="77777777" w:rsidR="008359B5" w:rsidRDefault="00000000" w:rsidP="00190CD7">
            <w:pPr>
              <w:jc w:val="both"/>
            </w:pPr>
            <w:r>
              <w:rPr>
                <w:sz w:val="20"/>
                <w:szCs w:val="20"/>
              </w:rPr>
              <w:t>MAGYAR FENNTARTHATÓSÁGI KÖZPONT Alapítvány (MFKA)</w:t>
            </w:r>
          </w:p>
        </w:tc>
      </w:tr>
    </w:tbl>
    <w:p w14:paraId="5B6A080D" w14:textId="77777777" w:rsidR="008359B5" w:rsidRDefault="008359B5" w:rsidP="00190CD7">
      <w:pPr>
        <w:jc w:val="both"/>
        <w:sectPr w:rsidR="008359B5">
          <w:pgSz w:w="11906" w:h="16838"/>
          <w:pgMar w:top="1417" w:right="1077" w:bottom="1077" w:left="1077" w:header="708" w:footer="708" w:gutter="0"/>
          <w:cols w:space="708"/>
          <w:docGrid w:linePitch="360"/>
        </w:sectPr>
      </w:pPr>
    </w:p>
    <w:p w14:paraId="0DC3C4E6" w14:textId="77777777" w:rsidR="008359B5" w:rsidRDefault="00000000" w:rsidP="00190CD7">
      <w:pPr>
        <w:spacing w:after="160"/>
        <w:jc w:val="both"/>
      </w:pPr>
      <w:r>
        <w:rPr>
          <w:rFonts w:ascii="Corbel" w:eastAsia="Corbel" w:hAnsi="Corbel" w:cs="Corbel"/>
          <w:b/>
          <w:bCs/>
          <w:color w:val="1E7A34"/>
          <w:sz w:val="32"/>
          <w:szCs w:val="32"/>
        </w:rPr>
        <w:lastRenderedPageBreak/>
        <w:t>Tartalomjegyzék</w:t>
      </w:r>
    </w:p>
    <w:p w14:paraId="2A656DCB" w14:textId="77777777" w:rsidR="008359B5" w:rsidRDefault="00000000" w:rsidP="00190CD7">
      <w:pPr>
        <w:spacing w:after="120"/>
        <w:jc w:val="both"/>
      </w:pPr>
      <w:r>
        <w:rPr>
          <w:i/>
          <w:iCs/>
          <w:color w:val="6F6F6F"/>
          <w:sz w:val="18"/>
          <w:szCs w:val="18"/>
        </w:rPr>
        <w:t>A frissítéshez: jobb klikk a jegyzékre › „Mező frissítése”.</w:t>
      </w:r>
    </w:p>
    <w:sdt>
      <w:sdtPr>
        <w:alias w:val="Tartalom"/>
        <w:id w:val="272289549"/>
      </w:sdtPr>
      <w:sdtContent>
        <w:p w14:paraId="1031CE1B" w14:textId="77777777" w:rsidR="00190CD7" w:rsidRDefault="00000000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r>
            <w:fldChar w:fldCharType="begin"/>
          </w:r>
          <w:r>
            <w:instrText>TOC \h \o "1-1"</w:instrText>
          </w:r>
          <w:r>
            <w:fldChar w:fldCharType="separate"/>
          </w:r>
          <w:hyperlink w:anchor="_Toc231680462" w:history="1">
            <w:r w:rsidR="00190CD7" w:rsidRPr="00F1009B">
              <w:rPr>
                <w:rStyle w:val="Hiperhivatkozs"/>
                <w:noProof/>
              </w:rPr>
              <w:t>1. Kiindulópont és keret</w:t>
            </w:r>
            <w:r w:rsidR="00190CD7">
              <w:rPr>
                <w:noProof/>
              </w:rPr>
              <w:tab/>
            </w:r>
            <w:r w:rsidR="00190CD7">
              <w:rPr>
                <w:noProof/>
              </w:rPr>
              <w:fldChar w:fldCharType="begin"/>
            </w:r>
            <w:r w:rsidR="00190CD7">
              <w:rPr>
                <w:noProof/>
              </w:rPr>
              <w:instrText xml:space="preserve"> PAGEREF _Toc231680462 \h </w:instrText>
            </w:r>
            <w:r w:rsidR="00190CD7">
              <w:rPr>
                <w:noProof/>
              </w:rPr>
            </w:r>
            <w:r w:rsidR="00190CD7">
              <w:rPr>
                <w:noProof/>
              </w:rPr>
              <w:fldChar w:fldCharType="separate"/>
            </w:r>
            <w:r w:rsidR="00190CD7">
              <w:rPr>
                <w:noProof/>
              </w:rPr>
              <w:t>3</w:t>
            </w:r>
            <w:r w:rsidR="00190CD7">
              <w:rPr>
                <w:noProof/>
              </w:rPr>
              <w:fldChar w:fldCharType="end"/>
            </w:r>
          </w:hyperlink>
        </w:p>
        <w:p w14:paraId="61BC8E9D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3" w:history="1">
            <w:r w:rsidRPr="00F1009B">
              <w:rPr>
                <w:rStyle w:val="Hiperhivatkozs"/>
                <w:noProof/>
              </w:rPr>
              <w:t>2. Helyzetkép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9B80EB4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4" w:history="1">
            <w:r w:rsidRPr="00F1009B">
              <w:rPr>
                <w:rStyle w:val="Hiperhivatkozs"/>
                <w:noProof/>
              </w:rPr>
              <w:t>3. Cél és alapelvek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4518D7EC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5" w:history="1">
            <w:r w:rsidRPr="00F1009B">
              <w:rPr>
                <w:rStyle w:val="Hiperhivatkozs"/>
                <w:noProof/>
              </w:rPr>
              <w:t>4. A megoldás felépítése: hol fusson az AI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5204BFA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6" w:history="1">
            <w:r w:rsidRPr="00F1009B">
              <w:rPr>
                <w:rStyle w:val="Hiperhivatkozs"/>
                <w:noProof/>
              </w:rPr>
              <w:t>5. Eszközök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30FAE75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7" w:history="1">
            <w:r w:rsidRPr="00F1009B">
              <w:rPr>
                <w:rStyle w:val="Hiperhivatkozs"/>
                <w:noProof/>
              </w:rPr>
              <w:t>6. Tudás és oktatás: az AI-tudás már az iskolában kezdődik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BA482EA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8" w:history="1">
            <w:r w:rsidRPr="00F1009B">
              <w:rPr>
                <w:rStyle w:val="Hiperhivatkozs"/>
                <w:noProof/>
              </w:rPr>
              <w:t>7. Ki mit csinál: intézményi rend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13F1EA0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69" w:history="1">
            <w:r w:rsidRPr="00F1009B">
              <w:rPr>
                <w:rStyle w:val="Hiperhivatkozs"/>
                <w:noProof/>
              </w:rPr>
              <w:t>8. Erőforrás-tudatosság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D86D53D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70" w:history="1">
            <w:r w:rsidRPr="00F1009B">
              <w:rPr>
                <w:rStyle w:val="Hiperhivatkozs"/>
                <w:noProof/>
              </w:rPr>
              <w:t>9. Mérés, ütemezés és kockázatok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8AF5B54" w14:textId="77777777" w:rsidR="00190CD7" w:rsidRDefault="00190CD7" w:rsidP="00190CD7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0471" w:history="1">
            <w:r w:rsidRPr="00F1009B">
              <w:rPr>
                <w:rStyle w:val="Hiperhivatkozs"/>
                <w:noProof/>
              </w:rPr>
              <w:t>10. Záró megjegyzés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_Toc231680471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0A4F7B03" w14:textId="77777777" w:rsidR="008359B5" w:rsidRDefault="00000000" w:rsidP="00190CD7">
          <w:pPr>
            <w:jc w:val="both"/>
          </w:pPr>
          <w:r>
            <w:fldChar w:fldCharType="end"/>
          </w:r>
        </w:p>
      </w:sdtContent>
    </w:sdt>
    <w:p w14:paraId="262EDF3C" w14:textId="77777777" w:rsidR="008359B5" w:rsidRDefault="00000000" w:rsidP="00190CD7">
      <w:pPr>
        <w:jc w:val="both"/>
      </w:pPr>
      <w:r>
        <w:br w:type="page"/>
      </w:r>
    </w:p>
    <w:p w14:paraId="6F36BCA9" w14:textId="77777777" w:rsidR="008359B5" w:rsidRDefault="00000000" w:rsidP="00190CD7">
      <w:pPr>
        <w:pStyle w:val="Cmsor1"/>
        <w:jc w:val="both"/>
      </w:pPr>
      <w:bookmarkStart w:id="0" w:name="_Toc231680462"/>
      <w:r>
        <w:lastRenderedPageBreak/>
        <w:t>1. Kiindulópont és keret</w:t>
      </w:r>
      <w:bookmarkEnd w:id="0"/>
    </w:p>
    <w:p w14:paraId="21F0A49F" w14:textId="77777777" w:rsidR="008359B5" w:rsidRDefault="00000000" w:rsidP="00190CD7">
      <w:pPr>
        <w:spacing w:after="140" w:line="276" w:lineRule="auto"/>
        <w:jc w:val="both"/>
      </w:pPr>
      <w:r>
        <w:t>Ez a dokumentum a gazdaság- és versenyképesség-fejlesztő stratégia AI-alstratégiája: a 4.3. pillér (Technológia, AI és digitális diffúzió) részletes kifejtése. A vezérgondolat egyszerű: a mesterséges intelligencia (AI) nem öncél és nem presztízskérdés, hanem gyakorlati eszköz, amellyel a vállalkozások jobban, gyorsabban és olcsóbban dolgozhatnak. Ezt pedig szűkös erőforrások mellett kell elérnünk.</w:t>
      </w:r>
    </w:p>
    <w:p w14:paraId="27E819BE" w14:textId="77777777" w:rsidR="008359B5" w:rsidRDefault="00000000" w:rsidP="00190CD7">
      <w:pPr>
        <w:spacing w:after="140" w:line="276" w:lineRule="auto"/>
        <w:jc w:val="both"/>
      </w:pPr>
      <w:r>
        <w:t>A szűkös mozgástér valójában megkönnyíti a döntést. Nincs realitása annak, hogy Magyarország a legnagyobb, élvonalbeli AI-modellek fejlesztésében versenyezzen — ez túl drága. De annak sincs értelme, hogy mindent külföldi felhőszolgáltatókra bízzunk (drága, és kiszolgáltatottá tesz), sem annak, hogy mindent magunk, elszigetelten csináljunk (akkor lemaradunk). A járható út a kettő okos ötvözése: a meglévő hazai eszközeinkre építünk, a hangsúlyt pedig arra tesszük, hogy az AI minél szélesebb körben, a gyakorlatban elterjedjen.</w:t>
      </w:r>
    </w:p>
    <w:p w14:paraId="0E30476C" w14:textId="77777777" w:rsidR="008359B5" w:rsidRDefault="00000000" w:rsidP="00190CD7">
      <w:pPr>
        <w:pStyle w:val="Cmsor1"/>
        <w:jc w:val="both"/>
      </w:pPr>
      <w:bookmarkStart w:id="1" w:name="_Toc231680463"/>
      <w:r>
        <w:t>2. Helyzetkép</w:t>
      </w:r>
      <w:bookmarkEnd w:id="1"/>
    </w:p>
    <w:p w14:paraId="6D30B2F4" w14:textId="77777777" w:rsidR="008359B5" w:rsidRDefault="00000000" w:rsidP="00190CD7">
      <w:pPr>
        <w:spacing w:after="140" w:line="276" w:lineRule="auto"/>
        <w:jc w:val="both"/>
      </w:pPr>
      <w:r>
        <w:t>Magyarországon a nagyobb (10 fő feletti) vállalkozásoknak csak mintegy 10%-a használ AI-t, szemben a 20%-os uniós átlaggal. A baj nem az eszközökkel van — a digitális hálózataink jók —, hanem azzal, hogy hiányzik a tudás és a gyakorlati alkalmazás. Sok hasznos építőkövünk megvan: a Komondor nevű hazai szuperszámítógép, a magyar nyelvű PULI nevű AI-modellek, az állami adatok kezelését végző Nemzeti Adatvagyon Ügynökség, valamint a vállalkozásokat segítő digitális innovációs központok hálózata.</w:t>
      </w:r>
    </w:p>
    <w:p w14:paraId="004E27BE" w14:textId="77777777" w:rsidR="008359B5" w:rsidRDefault="00000000" w:rsidP="00190CD7">
      <w:pPr>
        <w:spacing w:after="140" w:line="276" w:lineRule="auto"/>
        <w:jc w:val="both"/>
      </w:pPr>
      <w:r>
        <w:t>Két dolog hiányzik. Az egyik a rendszer átlátható, kiszámítható működtetése a mai szétaprózott, esetleges támogatások helyett. A másik az erőforrás-tudatosság: az AI sok energiát és vizet fogyaszt, a nagy modellek távoli felhőben való futtatása pedig a legdrágább és legpazarlóbb megoldás. Egy szűkös erőforrású országban ezért a kisebb, célzott modellek és a helyi futtatás felé érdemes mozdulnunk.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8359B5" w14:paraId="1BB6BE5A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157431E" w14:textId="77777777" w:rsidR="008359B5" w:rsidRDefault="00000000" w:rsidP="00190CD7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A két szélsőség, amelyet kerülünk. </w:t>
            </w:r>
            <w:r>
              <w:t>Ha mindent külföldi felhőre bízunk, az drága, és egyetlen szállítónak szolgáltat ki. Ha viszont mindent elszigetelten, magunk csinálunk, lemaradunk az élvonaltól. A helyes válasz a kettő tudatos ötvözése.</w:t>
            </w:r>
          </w:p>
        </w:tc>
      </w:tr>
    </w:tbl>
    <w:p w14:paraId="4CB14C80" w14:textId="77777777" w:rsidR="008359B5" w:rsidRDefault="00000000" w:rsidP="00190CD7">
      <w:pPr>
        <w:pStyle w:val="Cmsor1"/>
        <w:jc w:val="both"/>
      </w:pPr>
      <w:bookmarkStart w:id="2" w:name="_Toc231680464"/>
      <w:r>
        <w:t>3. Cél és alapelvek</w:t>
      </w:r>
      <w:bookmarkEnd w:id="2"/>
    </w:p>
    <w:p w14:paraId="48D0A11E" w14:textId="77777777" w:rsidR="008359B5" w:rsidRDefault="00000000" w:rsidP="00190CD7">
      <w:pPr>
        <w:spacing w:after="140" w:line="276" w:lineRule="auto"/>
        <w:jc w:val="both"/>
      </w:pPr>
      <w:r>
        <w:t>A cél, hogy az AI széles körben, biztonságosan és megfizethetően elterjedjen a magyar vállalkozásoknál, és mérhetően növelje a termelékenységüket. Magyarország legyen olyan ország, amely gyorsan és jól alkalmazza az AI-t a saját, gyakorlati feladataira — nem az a cél, hogy a legnagyobb modelleket birtokoljuk.</w:t>
      </w:r>
    </w:p>
    <w:p w14:paraId="06C1D4D8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Vegyes (hibrid) felépítés. </w:t>
      </w:r>
      <w:r>
        <w:t>Az uniós közös számítási kapacitás, a hazai tudásbázis, a kis, szakosított modellek és a vállalkozásnál helyben futó AI együtt alkotja a rendszert.</w:t>
      </w:r>
    </w:p>
    <w:p w14:paraId="550F06E2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elterjedés a fontos, nem a presztízs. </w:t>
      </w:r>
      <w:r>
        <w:t>A cél a gyakorlati, mindennapi használat, nem egy látványos zászlóshajó-modell.</w:t>
      </w:r>
    </w:p>
    <w:p w14:paraId="3C87F095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Átlátható, szabályalapú támogatás. </w:t>
      </w:r>
      <w:r>
        <w:t>Kiszámítható, automatikus jogosultság (utalvány), nem pályázgatás.</w:t>
      </w:r>
    </w:p>
    <w:p w14:paraId="46254DDC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Nyílt és jogtiszta megoldások. </w:t>
      </w:r>
      <w:r>
        <w:t xml:space="preserve">Lehetőleg nyílt forráskódú (nem egyetlen céghez kötött) és jogtisztán </w:t>
      </w:r>
      <w:proofErr w:type="spellStart"/>
      <w:r>
        <w:t>licencelt</w:t>
      </w:r>
      <w:proofErr w:type="spellEnd"/>
      <w:r>
        <w:t xml:space="preserve"> eszközök, hogy megőrizzük a függetlenségünket, és elkerüljük az egyetlen szállítóhoz </w:t>
      </w:r>
      <w:proofErr w:type="spellStart"/>
      <w:r>
        <w:t>láncolódást</w:t>
      </w:r>
      <w:proofErr w:type="spellEnd"/>
      <w:r>
        <w:t>.</w:t>
      </w:r>
    </w:p>
    <w:p w14:paraId="2028C093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Erőforrás-tudatosság. </w:t>
      </w:r>
      <w:r>
        <w:t>Kisebb modellek és helyi futtatás: kevesebb energia, kisebb költség, nagyobb adatbiztonság.</w:t>
      </w:r>
    </w:p>
    <w:p w14:paraId="56707E19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Az AI elválaszthatatlan a képzéstől. </w:t>
      </w:r>
      <w:r>
        <w:t>Mivel a fő akadály a tudás és az alkalmazás, ez egyben oktatási stratégia is — az általános iskolától a felnőttképzésig.</w:t>
      </w:r>
    </w:p>
    <w:p w14:paraId="34A275DA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állam a </w:t>
      </w:r>
      <w:proofErr w:type="spellStart"/>
      <w:r>
        <w:rPr>
          <w:b/>
          <w:bCs/>
        </w:rPr>
        <w:t>közöset</w:t>
      </w:r>
      <w:proofErr w:type="spellEnd"/>
      <w:r>
        <w:rPr>
          <w:b/>
          <w:bCs/>
        </w:rPr>
        <w:t xml:space="preserve"> adja, a piac a specializációt. </w:t>
      </w:r>
      <w:r>
        <w:t>Az állam a közös alapokat és a szabályokat biztosítja; a vállalkozások építik rá a saját, szakterületi megoldásaikat.</w:t>
      </w:r>
    </w:p>
    <w:p w14:paraId="578FEDD5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meglévőre építünk. </w:t>
      </w:r>
      <w:r>
        <w:t>A Komondort, a PULI-modelleket, az állami adatvagyont és az innovációs központokat fejlesztjük tovább — nem építünk mindent elölről.</w:t>
      </w:r>
    </w:p>
    <w:p w14:paraId="47A3E2B7" w14:textId="77777777" w:rsidR="008359B5" w:rsidRDefault="00000000" w:rsidP="00190CD7">
      <w:pPr>
        <w:pStyle w:val="Cmsor1"/>
        <w:jc w:val="both"/>
      </w:pPr>
      <w:bookmarkStart w:id="3" w:name="_Toc231680465"/>
      <w:r>
        <w:t>4. A megoldás felépítése: hol fusson az AI</w:t>
      </w:r>
      <w:bookmarkEnd w:id="3"/>
    </w:p>
    <w:p w14:paraId="753D5441" w14:textId="77777777" w:rsidR="008359B5" w:rsidRDefault="00000000" w:rsidP="00190CD7">
      <w:pPr>
        <w:spacing w:after="140" w:line="276" w:lineRule="auto"/>
        <w:jc w:val="both"/>
      </w:pPr>
      <w:r>
        <w:t>Az alstratégia magja egy négyszintű, gyakorlatias felépítés, amely minden feladatot oda tesz, ahová a leginkább illik:</w:t>
      </w:r>
    </w:p>
    <w:p w14:paraId="4CD63048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1. szint — Közös, nagy számítási kapacitás. </w:t>
      </w:r>
      <w:r>
        <w:t>A nagyon nagy, nehéz számításokhoz (például egy modell betanításához) az EU közös szuperszámítógép-kapacitását és a hazai Komondort használjuk. Ez túl drága ahhoz, hogy minden vállalkozás külön megvegye.</w:t>
      </w:r>
    </w:p>
    <w:p w14:paraId="50071EEF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2. szint — Nemzeti tudásbázis. </w:t>
      </w:r>
      <w:r>
        <w:t>Közös, megbízható, jogtiszta és folyamatosan karbantartott adat- és tudásbázis, magyar nyelvű és szakterületi anyagokkal, az állami adatvagyon felelős kezelésével.</w:t>
      </w:r>
    </w:p>
    <w:p w14:paraId="3C3A9C6D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3. szint — Kis, szakosított, okos modellek. </w:t>
      </w:r>
      <w:r>
        <w:t>Nem a legnagyobb, hanem a saját szakterületükön nagyon jól teljesítő kisebb modellek, amelyek a hazai tudásbázisból dolgoznak. Olcsóbbak, gyorsabbak és biztonságosabbak.</w:t>
      </w:r>
    </w:p>
    <w:p w14:paraId="2F8FE720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4. szint — Helyi AI-munkaállomás a vállalkozásnál. </w:t>
      </w:r>
      <w:r>
        <w:t>A kész AI-t a cég a saját gépén futtatja, nem távoli felhőben. Ez védi az adatait, hosszú távon olcsóbb, és kevesebb energiát fogyaszt.</w:t>
      </w:r>
    </w:p>
    <w:p w14:paraId="3EA2952F" w14:textId="77777777" w:rsidR="008359B5" w:rsidRDefault="00000000" w:rsidP="00190CD7">
      <w:pPr>
        <w:spacing w:after="140" w:line="276" w:lineRule="auto"/>
        <w:jc w:val="both"/>
      </w:pPr>
      <w:r>
        <w:t>A nehéz munka tehát a közös kapacitáson és a tudásbázisban történik, a mindennapi használat pedig a vállalkozásoknál, helyben. A meglévő hazai eszközökre építünk, és átláthatóbbá, kiszámíthatóbbá tesszük a működtetésüket.</w:t>
      </w:r>
    </w:p>
    <w:p w14:paraId="7E420EC0" w14:textId="77777777" w:rsidR="008359B5" w:rsidRDefault="00000000" w:rsidP="00190CD7">
      <w:pPr>
        <w:pStyle w:val="Cmsor1"/>
        <w:jc w:val="both"/>
      </w:pPr>
      <w:bookmarkStart w:id="4" w:name="_Toc231680466"/>
      <w:r>
        <w:t>5. Eszközök</w:t>
      </w:r>
      <w:bookmarkEnd w:id="4"/>
    </w:p>
    <w:p w14:paraId="473CE46B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Támogatás a helyi AI-munkaállomásokhoz. </w:t>
      </w:r>
      <w:r>
        <w:t>Ez a legfontosabb gyakorlati eszköz: a saját gépen futó AI a kkv-knak is drága, ezért kiszámítható, automatikus támogatással (utalvány és gyorsított leírás a Vállalkozói Kártyán keresztül) tesszük megfizethetővé. Nem pályázat, hanem szabályalapú jogosultság.</w:t>
      </w:r>
    </w:p>
    <w:p w14:paraId="0613C2B4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Közös nemzeti tudásbázis — nyílt és </w:t>
      </w:r>
      <w:proofErr w:type="spellStart"/>
      <w:r>
        <w:rPr>
          <w:b/>
          <w:bCs/>
        </w:rPr>
        <w:t>licencelt</w:t>
      </w:r>
      <w:proofErr w:type="spellEnd"/>
      <w:r>
        <w:rPr>
          <w:b/>
          <w:bCs/>
        </w:rPr>
        <w:t xml:space="preserve"> forrásokból. </w:t>
      </w:r>
      <w:r>
        <w:t>Megbízható, jogtiszta adat- és tudásbázis, amely részben nyílt forrásokból, részben jogtisztán megvásárolt vagy engedélyezett (</w:t>
      </w:r>
      <w:proofErr w:type="spellStart"/>
      <w:r>
        <w:t>licencelt</w:t>
      </w:r>
      <w:proofErr w:type="spellEnd"/>
      <w:r>
        <w:t>) anyagokból épül, szakterületi csomagokkal (például jogszabály-megfelelés, mezőgazdaság és víz, exportpiaci ismeretek, egészségügyi dokumentáció, energetika).</w:t>
      </w:r>
    </w:p>
    <w:p w14:paraId="3F212119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kis, szakosított modellek fejlesztésének támogatása — ösztöndíjjal, gyakornoki programmal és stratégiai szerződésekkel. </w:t>
      </w:r>
      <w:r>
        <w:t xml:space="preserve">A saját szakterületükön nagyon okos, kisebb modellek fejlesztése a magyar nyelvű, szabadon felhasználható (nyílt súlyú) alapokra építve. Ezt felgyorsíthatja, ha az állam — ahol van rá fogadókészség — ösztöndíj- és gyakornoki programot, valamint stratégiai fejlesztési szerződéseket köt vezető fejlesztőcégekkel és hazai kutatóintézetekkel; a gyakornokok valódi magyar modellek fejlesztésében vesznek részt, így a csúcstudás gyorsabban, embereken keresztül épül be (és a tudás itthon marad). Feltétel, hogy a magyar fél jogai — a modellek és az adatok feletti rendelkezés — szerződésben biztosítva legyenek, a kiszolgáltatottság és az egy szállítóhoz kötöttség elkerülésével. Kiemelt, de érzékeny területek az orvosi képdiagnosztika (CT, MRI), a magyar jog és a természettudományok; a magas kockázatú felhasználásoknál (például orvosi döntéstámogatás) szakmai </w:t>
      </w:r>
      <w:r>
        <w:lastRenderedPageBreak/>
        <w:t xml:space="preserve">felügyelet, klinikai </w:t>
      </w:r>
      <w:proofErr w:type="spellStart"/>
      <w:r>
        <w:t>validálás</w:t>
      </w:r>
      <w:proofErr w:type="spellEnd"/>
      <w:r>
        <w:t xml:space="preserve"> és szabályozási megfelelés szükséges, kezdetben döntéstámogató — nem önálló döntéshozó — szerepben.</w:t>
      </w:r>
    </w:p>
    <w:p w14:paraId="74FF8E47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Egyszerű, arányos szabályozás a kis cégeknek. </w:t>
      </w:r>
      <w:r>
        <w:t>Az uniós AI-szabályozást a kisvállalkozások számára is teljesíthető módon alkalmazzuk, és ellenőrzött kipróbálási lehetőséget (szabályozási tesztkörnyezetet) biztosítunk.</w:t>
      </w:r>
    </w:p>
    <w:p w14:paraId="0B021D9A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Nyílt, összekapcsolható megoldások a közbeszerzésben. </w:t>
      </w:r>
      <w:r>
        <w:t>Hogy a vállalkozások ne ragadjanak egyetlen szállítóhoz, és könnyebben be tudjanak lépni.</w:t>
      </w:r>
    </w:p>
    <w:p w14:paraId="6B364E52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Szoros kapcsolat a képzéssel. </w:t>
      </w:r>
      <w:r>
        <w:t>Gyakorlati alkalmazási műhelyek (ahol a cégek a saját feladataikon próbálják ki az AI-t), mentorok, és az AI-tudás beépítése az oktatásba (lásd a következő fejezetet).</w:t>
      </w:r>
    </w:p>
    <w:p w14:paraId="1D679488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Ágazati elterjesztési programok. </w:t>
      </w:r>
      <w:r>
        <w:t>A mezőgazdaság és a drónhasználat (4.5), az energiagazdálkodás (4.4) és a fejlett gyártás (4.7) területén.</w:t>
      </w:r>
    </w:p>
    <w:p w14:paraId="29B9D8E2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állam példát mutat — AI a közigazgatásban. </w:t>
      </w:r>
      <w:r>
        <w:t xml:space="preserve">A közigazgatás saját magán kezdi az AI bevezetését: AI-használati és -biztonsági szabályzat, belső képzés, nagy teljesítményű, helyben futó AI-munkaállomás és belső, bizalmas adatkezelésre alkalmas tudásbázisok. Ez két célt szolgál: egyrészt hitelességet ad (a KKV-któl nem kérhető az, amit az állam maga sem tesz meg), másrészt átláthatóbb, </w:t>
      </w:r>
      <w:proofErr w:type="spellStart"/>
      <w:r>
        <w:t>adatvezérelt</w:t>
      </w:r>
      <w:proofErr w:type="spellEnd"/>
      <w:r>
        <w:t xml:space="preserve"> irányítást tesz lehetővé — a döntéshozók valós adatokon alapuló, AI-</w:t>
      </w:r>
      <w:proofErr w:type="spellStart"/>
      <w:r>
        <w:t>val</w:t>
      </w:r>
      <w:proofErr w:type="spellEnd"/>
      <w:r>
        <w:t xml:space="preserve"> támogatott információ alapján döntenek, ami áttöri a szándékosan épített információs burkot, és láthatóvá teszi, hol akad el egy ügy. Az AI itt is döntéstámogató, nem döntéshozó; a bizalmas adatok miatt a helyi, biztonságos futtatás kötelező.</w:t>
      </w:r>
    </w:p>
    <w:p w14:paraId="59C227C6" w14:textId="77777777" w:rsidR="008359B5" w:rsidRDefault="00000000" w:rsidP="00190CD7">
      <w:pPr>
        <w:pStyle w:val="Cmsor1"/>
        <w:jc w:val="both"/>
      </w:pPr>
      <w:bookmarkStart w:id="5" w:name="_Toc231680467"/>
      <w:r>
        <w:t>6. Tudás és oktatás: az AI-tudás már az iskolában kezdődik</w:t>
      </w:r>
      <w:bookmarkEnd w:id="5"/>
    </w:p>
    <w:p w14:paraId="087CB053" w14:textId="77777777" w:rsidR="008359B5" w:rsidRDefault="00000000" w:rsidP="00190CD7">
      <w:pPr>
        <w:spacing w:after="140" w:line="276" w:lineRule="auto"/>
        <w:jc w:val="both"/>
      </w:pPr>
      <w:r>
        <w:t>A legfontosabb akadály nem a gép, hanem a tudás. Ezért az AI-stratégia egyben oktatási stratégia is, három szinten:</w:t>
      </w:r>
    </w:p>
    <w:p w14:paraId="32850804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Közoktatás. </w:t>
      </w:r>
      <w:r>
        <w:t xml:space="preserve">Az AI alapjait és gyakorlati, felelős használatát már az iskolában, életkornak megfelelő módon érdemes tanítani. Kína például már általános iskolában oktatja az AI-használatot; aki a jövő munkavállalóit és vállalkozóit fel akarja készíteni, annak korán kell </w:t>
      </w:r>
      <w:proofErr w:type="spellStart"/>
      <w:r>
        <w:t>kezdenie</w:t>
      </w:r>
      <w:proofErr w:type="spellEnd"/>
      <w:r>
        <w:t>. Ez hosszú távú, stratégiai befektetés az alkalmazkodóképességbe.</w:t>
      </w:r>
    </w:p>
    <w:p w14:paraId="34914D35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Szakember- és felnőttképzés. </w:t>
      </w:r>
      <w:r>
        <w:t xml:space="preserve">Az AI gyakorlati, vállalati használatának beépítése a szak- és felsőoktatásba és a felnőttképzésbe, a 2. pillér </w:t>
      </w:r>
      <w:proofErr w:type="spellStart"/>
      <w:r>
        <w:t>mikrotanúsítványaival</w:t>
      </w:r>
      <w:proofErr w:type="spellEnd"/>
      <w:r>
        <w:t xml:space="preserve"> és gyakorlati műhelyeivel összhangban.</w:t>
      </w:r>
    </w:p>
    <w:p w14:paraId="454BB63B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Fejlesztők és kutatók. </w:t>
      </w:r>
      <w:r>
        <w:t>A kis, szakosított hazai modellek fejlesztéséhez fejlesztői és kutatói tudásra van szükség; ennek képzését és magát a fejlesztést célzottan támogatjuk — többek között ösztöndíj- és gyakornoki programmal, amelyben a gyakornokok hazai kutatóintézetek és vezető fejlesztők mellett, valódi magyar modelleken tanulnak (lásd az 5. fejezet eszközét).</w:t>
      </w:r>
    </w:p>
    <w:p w14:paraId="049AD652" w14:textId="77777777" w:rsidR="008359B5" w:rsidRDefault="00000000" w:rsidP="00190CD7">
      <w:pPr>
        <w:spacing w:after="140" w:line="276" w:lineRule="auto"/>
        <w:jc w:val="both"/>
      </w:pPr>
      <w:r>
        <w:t>Az oktatás és a fejlesztés támogatása így nem külön sáv, hanem az AI elterjedésének és a hazai modellfejlesztésnek a feltétele.</w:t>
      </w:r>
    </w:p>
    <w:p w14:paraId="431CB5F2" w14:textId="77777777" w:rsidR="008359B5" w:rsidRDefault="00000000" w:rsidP="00190CD7">
      <w:pPr>
        <w:pStyle w:val="Cmsor1"/>
        <w:jc w:val="both"/>
      </w:pPr>
      <w:bookmarkStart w:id="6" w:name="_Toc231680468"/>
      <w:r>
        <w:t>7. Ki mit csinál: intézményi rend</w:t>
      </w:r>
      <w:bookmarkEnd w:id="6"/>
    </w:p>
    <w:p w14:paraId="3F7CDA8F" w14:textId="77777777" w:rsidR="008359B5" w:rsidRDefault="00000000" w:rsidP="00190CD7">
      <w:pPr>
        <w:spacing w:after="140" w:line="276" w:lineRule="auto"/>
        <w:jc w:val="both"/>
      </w:pPr>
      <w:r>
        <w:t xml:space="preserve">A szerepek </w:t>
      </w:r>
      <w:proofErr w:type="spellStart"/>
      <w:r>
        <w:t>világosak</w:t>
      </w:r>
      <w:proofErr w:type="spellEnd"/>
      <w:r>
        <w:t>: az állam a közös alapokat és a szabályokat adja (a tudásbázist, a kipróbálási tesztkörnyezetet, a nyílt építőelemeket, az értékelési szabályokat és a támogatási utalványt); a vállalkozások pedig erre építik a saját, szakterületi szolgáltatásaikat, és viszik a megoldást a felhasználókhoz.</w:t>
      </w:r>
    </w:p>
    <w:p w14:paraId="33D96B07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nehéz számítás és a tudásbázis háttere. </w:t>
      </w:r>
      <w:r>
        <w:t>A hazai szuperszámítógép, a magyar nyelvű modelleket fejlesztő kutatóintézet és az állami adatvagyon kezelője.</w:t>
      </w:r>
    </w:p>
    <w:p w14:paraId="36EBC588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A vállalkozásokhoz való eljuttatás. </w:t>
      </w:r>
      <w:r>
        <w:t>A cégek helyi munkaállomásai, a digitális innovációs központok és a tanácsadói hálózat.</w:t>
      </w:r>
    </w:p>
    <w:p w14:paraId="0E05D205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Adatkezelés. </w:t>
      </w:r>
      <w:r>
        <w:t>Jogtiszta, ellenőrizhető és biztonságos, már a tervezéstől kezdve.</w:t>
      </w:r>
    </w:p>
    <w:p w14:paraId="1056B49B" w14:textId="77777777" w:rsidR="008359B5" w:rsidRDefault="00000000" w:rsidP="00190CD7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meglévő intézmények. </w:t>
      </w:r>
      <w:r>
        <w:t>Működésüket átláthatóbbá és kiszámíthatóbbá tesszük.</w:t>
      </w:r>
    </w:p>
    <w:p w14:paraId="695B46EB" w14:textId="77777777" w:rsidR="008359B5" w:rsidRDefault="00000000" w:rsidP="00190CD7">
      <w:pPr>
        <w:pStyle w:val="Cmsor1"/>
        <w:jc w:val="both"/>
      </w:pPr>
      <w:bookmarkStart w:id="7" w:name="_Toc231680469"/>
      <w:r>
        <w:t>8. Erőforrás-tudatosság</w:t>
      </w:r>
      <w:bookmarkEnd w:id="7"/>
    </w:p>
    <w:p w14:paraId="6DBC9071" w14:textId="77777777" w:rsidR="008359B5" w:rsidRDefault="00000000" w:rsidP="00190CD7">
      <w:pPr>
        <w:spacing w:after="140" w:line="276" w:lineRule="auto"/>
        <w:jc w:val="both"/>
      </w:pPr>
      <w:r>
        <w:t>Az AI sok energiát és vizet fogyaszt, és a nagy modellek felhőben való futtatása a legdrágább út. Egy szűkös erőforrású országban ez nem mellékes szempont, hanem tervezési alapelv. Ezért a kisebb modellek, a helyi futtatás és a célzott használat nem lemondás, hanem éppen a helyes megoldás: kevesebb energia és víz, kisebb költség, nagyobb adatbiztonság és gyorsabb elterjedés. Ez a fő stratégia „kevesebb erőforrással nagyobb értékteremtés” elvének egyenes alkalmazása.</w:t>
      </w:r>
    </w:p>
    <w:p w14:paraId="75FE2E8B" w14:textId="77777777" w:rsidR="008359B5" w:rsidRDefault="00000000" w:rsidP="00190CD7">
      <w:pPr>
        <w:pStyle w:val="Cmsor1"/>
        <w:jc w:val="both"/>
      </w:pPr>
      <w:bookmarkStart w:id="8" w:name="_Toc231680470"/>
      <w:r>
        <w:t>9. Mérés, ütemezés és kockázatok</w:t>
      </w:r>
      <w:bookmarkEnd w:id="8"/>
    </w:p>
    <w:p w14:paraId="334C6F20" w14:textId="77777777" w:rsidR="008359B5" w:rsidRDefault="00000000" w:rsidP="00190CD7">
      <w:pPr>
        <w:spacing w:after="140" w:line="276" w:lineRule="auto"/>
        <w:jc w:val="both"/>
      </w:pPr>
      <w:r>
        <w:rPr>
          <w:b/>
          <w:bCs/>
        </w:rPr>
        <w:t xml:space="preserve">Mérés. </w:t>
      </w:r>
      <w:r>
        <w:t>Hány vállalkozás használ AI-t (közelítve az uniós átlaghoz); hányan veszik igénybe a támogatást; hány szakterületi tudáscsomag és kis modell készül el; és mennyit javul a termelékenység a támogatott cégeknél (összehasonlító, kontrollcsoportos méréssel).</w:t>
      </w:r>
    </w:p>
    <w:p w14:paraId="164FF65E" w14:textId="77777777" w:rsidR="008359B5" w:rsidRDefault="00000000" w:rsidP="00190CD7">
      <w:pPr>
        <w:spacing w:after="140" w:line="276" w:lineRule="auto"/>
        <w:jc w:val="both"/>
      </w:pPr>
      <w:r>
        <w:rPr>
          <w:b/>
          <w:bCs/>
        </w:rPr>
        <w:t xml:space="preserve">Ütemezés. </w:t>
      </w:r>
      <w:r>
        <w:t>2026–2027: alapozás (támogatás, tudásbázis, tesztkörnyezet, első programok); 2028–2031: bővítés (széles körű elterjesztés, szakterületi modellek); 2031–2036: a széles, biztonságos használat és a termelékenység-növekedés beérése.</w:t>
      </w:r>
    </w:p>
    <w:p w14:paraId="14AB4287" w14:textId="77777777" w:rsidR="008359B5" w:rsidRDefault="00000000" w:rsidP="00190CD7">
      <w:pPr>
        <w:spacing w:after="140" w:line="276" w:lineRule="auto"/>
        <w:jc w:val="both"/>
      </w:pPr>
      <w:r>
        <w:rPr>
          <w:b/>
          <w:bCs/>
        </w:rPr>
        <w:t xml:space="preserve">Kockázatok. </w:t>
      </w:r>
      <w:r>
        <w:t>Ha mindent felhőre bízunk (kiszolgáltatottság) vagy mindent elszigetelten csinálunk (lemaradás); ha hiányzik a tudás; ha az adatkezelés rendezetlen; ha egyszeri pénzekre építünk; vagy ha túlvállaljuk magunkat egy presztízsprojekttel. Ezeket a vegyes felépítés, az oktatás, a szabályalapú finanszírozás és az átlátható működtetés kezeli.</w:t>
      </w:r>
    </w:p>
    <w:p w14:paraId="0923E85F" w14:textId="77777777" w:rsidR="008359B5" w:rsidRDefault="00000000" w:rsidP="00190CD7">
      <w:pPr>
        <w:pStyle w:val="Cmsor1"/>
        <w:jc w:val="both"/>
      </w:pPr>
      <w:bookmarkStart w:id="9" w:name="_Toc231680471"/>
      <w:r>
        <w:t>10. Záró megjegyzés</w:t>
      </w:r>
      <w:bookmarkEnd w:id="9"/>
    </w:p>
    <w:p w14:paraId="4196483F" w14:textId="77777777" w:rsidR="008359B5" w:rsidRDefault="00000000" w:rsidP="00190CD7">
      <w:pPr>
        <w:spacing w:after="140" w:line="276" w:lineRule="auto"/>
        <w:jc w:val="both"/>
      </w:pPr>
      <w:r>
        <w:t>Ez az AI-alstratégia a 4.3. pillér gyakorlati kifejtése, a fő stratégia logikáját követve. A konkrét eszközöket, határidőket és felelősöket a későbbi operatív intézkedési terv tartalmazza majd. A következő lépés a KKV-alstratégia.</w:t>
      </w:r>
    </w:p>
    <w:sectPr w:rsidR="008359B5">
      <w:headerReference w:type="default" r:id="rId7"/>
      <w:footerReference w:type="default" r:id="rId8"/>
      <w:pgSz w:w="11906" w:h="16838"/>
      <w:pgMar w:top="141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30FB" w14:textId="77777777" w:rsidR="00F1714C" w:rsidRDefault="00F1714C">
      <w:r>
        <w:separator/>
      </w:r>
    </w:p>
  </w:endnote>
  <w:endnote w:type="continuationSeparator" w:id="0">
    <w:p w14:paraId="29EB945E" w14:textId="77777777" w:rsidR="00F1714C" w:rsidRDefault="00F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8507" w14:textId="77777777" w:rsidR="008359B5" w:rsidRDefault="00000000">
    <w:pPr>
      <w:pBdr>
        <w:top w:val="single" w:sz="6" w:space="4" w:color="1E7A34"/>
      </w:pBdr>
      <w:tabs>
        <w:tab w:val="right" w:pos="9026"/>
      </w:tabs>
      <w:spacing w:before="60"/>
    </w:pPr>
    <w:r>
      <w:rPr>
        <w:rFonts w:ascii="Corbel" w:eastAsia="Corbel" w:hAnsi="Corbel" w:cs="Corbel"/>
        <w:color w:val="6F6F6F"/>
        <w:sz w:val="16"/>
        <w:szCs w:val="16"/>
      </w:rPr>
      <w:t>MFKA · AI-alstratégia (tervezet)</w:t>
    </w:r>
    <w:r>
      <w:rPr>
        <w:rFonts w:ascii="Corbel" w:eastAsia="Corbel" w:hAnsi="Corbel" w:cs="Corbel"/>
        <w:color w:val="6F6F6F"/>
        <w:sz w:val="16"/>
        <w:szCs w:val="16"/>
      </w:rPr>
      <w:tab/>
      <w:t xml:space="preserve">Oldal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PAGE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190CD7">
      <w:rPr>
        <w:rFonts w:ascii="Corbel" w:eastAsia="Corbel" w:hAnsi="Corbel" w:cs="Corbel"/>
        <w:noProof/>
        <w:color w:val="6F6F6F"/>
        <w:sz w:val="16"/>
        <w:szCs w:val="16"/>
      </w:rPr>
      <w:t>2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  <w:r>
      <w:rPr>
        <w:rFonts w:ascii="Corbel" w:eastAsia="Corbel" w:hAnsi="Corbel" w:cs="Corbel"/>
        <w:color w:val="6F6F6F"/>
        <w:sz w:val="16"/>
        <w:szCs w:val="16"/>
      </w:rPr>
      <w:t xml:space="preserve"> /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NUMPAGES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190CD7">
      <w:rPr>
        <w:rFonts w:ascii="Corbel" w:eastAsia="Corbel" w:hAnsi="Corbel" w:cs="Corbel"/>
        <w:noProof/>
        <w:color w:val="6F6F6F"/>
        <w:sz w:val="16"/>
        <w:szCs w:val="16"/>
      </w:rPr>
      <w:t>3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8461" w14:textId="77777777" w:rsidR="00F1714C" w:rsidRDefault="00F1714C">
      <w:r>
        <w:separator/>
      </w:r>
    </w:p>
  </w:footnote>
  <w:footnote w:type="continuationSeparator" w:id="0">
    <w:p w14:paraId="44D2FF14" w14:textId="77777777" w:rsidR="00F1714C" w:rsidRDefault="00F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B18" w14:textId="77777777" w:rsidR="008359B5" w:rsidRDefault="00000000">
    <w:pPr>
      <w:pBdr>
        <w:bottom w:val="single" w:sz="6" w:space="4" w:color="1E7A34"/>
      </w:pBdr>
      <w:tabs>
        <w:tab w:val="right" w:pos="9026"/>
      </w:tabs>
      <w:spacing w:after="60"/>
    </w:pPr>
    <w:r>
      <w:rPr>
        <w:rFonts w:ascii="Corbel" w:eastAsia="Corbel" w:hAnsi="Corbel" w:cs="Corbel"/>
        <w:color w:val="404040"/>
        <w:sz w:val="16"/>
        <w:szCs w:val="16"/>
      </w:rPr>
      <w:t>MFKA</w:t>
    </w:r>
    <w:r>
      <w:rPr>
        <w:rFonts w:ascii="Corbel" w:eastAsia="Corbel" w:hAnsi="Corbel" w:cs="Corbel"/>
        <w:color w:val="404040"/>
        <w:sz w:val="16"/>
        <w:szCs w:val="16"/>
      </w:rPr>
      <w:tab/>
      <w:t>AI-alstratégia 2026–2036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2031D"/>
    <w:multiLevelType w:val="hybridMultilevel"/>
    <w:tmpl w:val="497EFDD6"/>
    <w:lvl w:ilvl="0" w:tplc="9F621CCA">
      <w:start w:val="1"/>
      <w:numFmt w:val="bullet"/>
      <w:lvlText w:val="•"/>
      <w:lvlJc w:val="left"/>
      <w:pPr>
        <w:ind w:left="540" w:hanging="280"/>
      </w:pPr>
      <w:rPr>
        <w:color w:val="1E7A34"/>
      </w:rPr>
    </w:lvl>
    <w:lvl w:ilvl="1" w:tplc="BC186E0A">
      <w:numFmt w:val="decimal"/>
      <w:lvlText w:val=""/>
      <w:lvlJc w:val="left"/>
    </w:lvl>
    <w:lvl w:ilvl="2" w:tplc="E0ACC5AC">
      <w:numFmt w:val="decimal"/>
      <w:lvlText w:val=""/>
      <w:lvlJc w:val="left"/>
    </w:lvl>
    <w:lvl w:ilvl="3" w:tplc="C9647CD6">
      <w:numFmt w:val="decimal"/>
      <w:lvlText w:val=""/>
      <w:lvlJc w:val="left"/>
    </w:lvl>
    <w:lvl w:ilvl="4" w:tplc="A4F4B48E">
      <w:numFmt w:val="decimal"/>
      <w:lvlText w:val=""/>
      <w:lvlJc w:val="left"/>
    </w:lvl>
    <w:lvl w:ilvl="5" w:tplc="594ADBEA">
      <w:numFmt w:val="decimal"/>
      <w:lvlText w:val=""/>
      <w:lvlJc w:val="left"/>
    </w:lvl>
    <w:lvl w:ilvl="6" w:tplc="2676C064">
      <w:numFmt w:val="decimal"/>
      <w:lvlText w:val=""/>
      <w:lvlJc w:val="left"/>
    </w:lvl>
    <w:lvl w:ilvl="7" w:tplc="4E707DB0">
      <w:numFmt w:val="decimal"/>
      <w:lvlText w:val=""/>
      <w:lvlJc w:val="left"/>
    </w:lvl>
    <w:lvl w:ilvl="8" w:tplc="2700B7AA">
      <w:numFmt w:val="decimal"/>
      <w:lvlText w:val=""/>
      <w:lvlJc w:val="left"/>
    </w:lvl>
  </w:abstractNum>
  <w:abstractNum w:abstractNumId="1" w15:restartNumberingAfterBreak="0">
    <w:nsid w:val="6F9628E3"/>
    <w:multiLevelType w:val="hybridMultilevel"/>
    <w:tmpl w:val="8A5A0942"/>
    <w:lvl w:ilvl="0" w:tplc="819E05B8">
      <w:start w:val="1"/>
      <w:numFmt w:val="bullet"/>
      <w:lvlText w:val="●"/>
      <w:lvlJc w:val="left"/>
      <w:pPr>
        <w:ind w:left="720" w:hanging="360"/>
      </w:pPr>
    </w:lvl>
    <w:lvl w:ilvl="1" w:tplc="CE24BD84">
      <w:start w:val="1"/>
      <w:numFmt w:val="bullet"/>
      <w:lvlText w:val="○"/>
      <w:lvlJc w:val="left"/>
      <w:pPr>
        <w:ind w:left="1440" w:hanging="360"/>
      </w:pPr>
    </w:lvl>
    <w:lvl w:ilvl="2" w:tplc="1BBA319C">
      <w:start w:val="1"/>
      <w:numFmt w:val="bullet"/>
      <w:lvlText w:val="■"/>
      <w:lvlJc w:val="left"/>
      <w:pPr>
        <w:ind w:left="2160" w:hanging="360"/>
      </w:pPr>
    </w:lvl>
    <w:lvl w:ilvl="3" w:tplc="766A4A5A">
      <w:start w:val="1"/>
      <w:numFmt w:val="bullet"/>
      <w:lvlText w:val="●"/>
      <w:lvlJc w:val="left"/>
      <w:pPr>
        <w:ind w:left="2880" w:hanging="360"/>
      </w:pPr>
    </w:lvl>
    <w:lvl w:ilvl="4" w:tplc="C5106CD6">
      <w:start w:val="1"/>
      <w:numFmt w:val="bullet"/>
      <w:lvlText w:val="○"/>
      <w:lvlJc w:val="left"/>
      <w:pPr>
        <w:ind w:left="3600" w:hanging="360"/>
      </w:pPr>
    </w:lvl>
    <w:lvl w:ilvl="5" w:tplc="C51C49E6">
      <w:start w:val="1"/>
      <w:numFmt w:val="bullet"/>
      <w:lvlText w:val="■"/>
      <w:lvlJc w:val="left"/>
      <w:pPr>
        <w:ind w:left="4320" w:hanging="360"/>
      </w:pPr>
    </w:lvl>
    <w:lvl w:ilvl="6" w:tplc="55E258D4">
      <w:start w:val="1"/>
      <w:numFmt w:val="bullet"/>
      <w:lvlText w:val="●"/>
      <w:lvlJc w:val="left"/>
      <w:pPr>
        <w:ind w:left="5040" w:hanging="360"/>
      </w:pPr>
    </w:lvl>
    <w:lvl w:ilvl="7" w:tplc="51C45608">
      <w:start w:val="1"/>
      <w:numFmt w:val="bullet"/>
      <w:lvlText w:val="●"/>
      <w:lvlJc w:val="left"/>
      <w:pPr>
        <w:ind w:left="5760" w:hanging="360"/>
      </w:pPr>
    </w:lvl>
    <w:lvl w:ilvl="8" w:tplc="C74EAF96">
      <w:start w:val="1"/>
      <w:numFmt w:val="bullet"/>
      <w:lvlText w:val="●"/>
      <w:lvlJc w:val="left"/>
      <w:pPr>
        <w:ind w:left="6480" w:hanging="360"/>
      </w:pPr>
    </w:lvl>
  </w:abstractNum>
  <w:num w:numId="1" w16cid:durableId="1217817941">
    <w:abstractNumId w:val="1"/>
    <w:lvlOverride w:ilvl="0">
      <w:startOverride w:val="1"/>
    </w:lvlOverride>
  </w:num>
  <w:num w:numId="2" w16cid:durableId="678508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B5"/>
    <w:rsid w:val="00190CD7"/>
    <w:rsid w:val="008359B5"/>
    <w:rsid w:val="00AC6624"/>
    <w:rsid w:val="00F1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7DAD"/>
  <w15:docId w15:val="{47B199DE-7686-449D-A4BD-2EB6F056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B2B2B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00" w:after="140"/>
      <w:outlineLvl w:val="0"/>
    </w:pPr>
    <w:rPr>
      <w:rFonts w:ascii="Corbel" w:eastAsia="Corbel" w:hAnsi="Corbel" w:cs="Corbel"/>
      <w:b/>
      <w:bCs/>
      <w:color w:val="1E7A34"/>
      <w:sz w:val="29"/>
      <w:szCs w:val="29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190CD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11696</Characters>
  <Application>Microsoft Office Word</Application>
  <DocSecurity>0</DocSecurity>
  <Lines>97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AI-alstratégia 2026–2036 (közérthető változat)</dc:title>
  <dc:creator>MAGYAR FENNTARTHATÓSÁGI KÖZPONT Alapítvány</dc:creator>
  <cp:lastModifiedBy>Tibor</cp:lastModifiedBy>
  <cp:revision>2</cp:revision>
  <dcterms:created xsi:type="dcterms:W3CDTF">2026-06-06T15:31:00Z</dcterms:created>
  <dcterms:modified xsi:type="dcterms:W3CDTF">2026-06-06T21:21:00Z</dcterms:modified>
</cp:coreProperties>
</file>