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D239" w14:textId="77777777" w:rsidR="003D094D" w:rsidRDefault="003D094D" w:rsidP="003506AD">
      <w:pPr>
        <w:spacing w:after="240"/>
        <w:jc w:val="both"/>
      </w:pPr>
    </w:p>
    <w:tbl>
      <w:tblPr>
        <w:tblW w:w="9752" w:type="dxa"/>
        <w:tblBorders>
          <w:top w:val="single" w:sz="2" w:space="0" w:color="1E7A34"/>
          <w:left w:val="single" w:sz="2" w:space="0" w:color="1E7A34"/>
          <w:bottom w:val="single" w:sz="2" w:space="0" w:color="1E7A34"/>
          <w:right w:val="single" w:sz="2" w:space="0" w:color="1E7A3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3D094D" w14:paraId="645CFCC6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2" w:space="0" w:color="1E7A34"/>
              <w:left w:val="single" w:sz="2" w:space="0" w:color="1E7A34"/>
              <w:bottom w:val="single" w:sz="2" w:space="0" w:color="1E7A34"/>
              <w:right w:val="single" w:sz="2" w:space="0" w:color="1E7A34"/>
            </w:tcBorders>
            <w:shd w:val="clear" w:color="auto" w:fill="1E7A34"/>
            <w:tcMar>
              <w:top w:w="320" w:type="dxa"/>
              <w:left w:w="300" w:type="dxa"/>
              <w:bottom w:w="320" w:type="dxa"/>
              <w:right w:w="300" w:type="dxa"/>
            </w:tcMar>
          </w:tcPr>
          <w:p w14:paraId="1EB8E146" w14:textId="77777777" w:rsidR="003D094D" w:rsidRDefault="00000000" w:rsidP="003506AD">
            <w:pPr>
              <w:spacing w:after="100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6"/>
                <w:szCs w:val="16"/>
              </w:rPr>
              <w:t>KKV-ALSTRATÉGIA · A GAZDASÁG- ÉS VERSENYKÉPESSÉG-FEJLESZTŐ STRATÉGIA RÉSZE</w:t>
            </w:r>
          </w:p>
          <w:p w14:paraId="35A70AFB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34"/>
                <w:szCs w:val="34"/>
              </w:rPr>
              <w:t>Életképes, növekvő és versenyképes magyar KKV-k</w:t>
            </w:r>
          </w:p>
        </w:tc>
      </w:tr>
    </w:tbl>
    <w:p w14:paraId="5E5A1D9B" w14:textId="77777777" w:rsidR="003D094D" w:rsidRDefault="003D094D" w:rsidP="003506AD">
      <w:pPr>
        <w:spacing w:after="260"/>
        <w:jc w:val="both"/>
      </w:pPr>
    </w:p>
    <w:p w14:paraId="422EAFCE" w14:textId="77777777" w:rsidR="003D094D" w:rsidRDefault="00000000" w:rsidP="003506AD">
      <w:pPr>
        <w:spacing w:after="120" w:line="300" w:lineRule="auto"/>
        <w:jc w:val="both"/>
      </w:pPr>
      <w:r>
        <w:rPr>
          <w:rFonts w:ascii="Corbel" w:eastAsia="Corbel" w:hAnsi="Corbel" w:cs="Corbel"/>
          <w:color w:val="404040"/>
          <w:sz w:val="26"/>
          <w:szCs w:val="26"/>
        </w:rPr>
        <w:t>Integrált vállalkozásfejlesztés, lépcsőzetes finanszírozás, kereslet és bizalom — a 4.1. pillér részletes kifejtése</w:t>
      </w:r>
    </w:p>
    <w:p w14:paraId="141B4C47" w14:textId="77777777" w:rsidR="003D094D" w:rsidRDefault="00000000" w:rsidP="003506AD">
      <w:pPr>
        <w:spacing w:after="320"/>
        <w:jc w:val="both"/>
      </w:pPr>
      <w:r>
        <w:rPr>
          <w:i/>
          <w:iCs/>
          <w:color w:val="C7A14A"/>
        </w:rPr>
        <w:t xml:space="preserve">Célállapot: </w:t>
      </w:r>
      <w:proofErr w:type="gramStart"/>
      <w:r>
        <w:rPr>
          <w:i/>
          <w:iCs/>
          <w:color w:val="C7A14A"/>
        </w:rPr>
        <w:t>2036  ·</w:t>
      </w:r>
      <w:proofErr w:type="gramEnd"/>
      <w:r>
        <w:rPr>
          <w:i/>
          <w:iCs/>
          <w:color w:val="C7A14A"/>
        </w:rPr>
        <w:t xml:space="preserve">  középtávú fordulópont: 2031</w:t>
      </w:r>
    </w:p>
    <w:p w14:paraId="7649FC7B" w14:textId="77777777" w:rsidR="003D094D" w:rsidRDefault="00000000" w:rsidP="003506AD">
      <w:pPr>
        <w:spacing w:after="40"/>
        <w:jc w:val="both"/>
      </w:pPr>
      <w:r>
        <w:rPr>
          <w:rFonts w:ascii="Corbel" w:eastAsia="Corbel" w:hAnsi="Corbel" w:cs="Corbel"/>
          <w:b/>
          <w:bCs/>
          <w:color w:val="1E7A34"/>
          <w:sz w:val="25"/>
          <w:szCs w:val="25"/>
        </w:rPr>
        <w:t>MAGYAR FENNTARTHATÓSÁGI KÖZPONT Alapítvány — MFKA</w:t>
      </w:r>
    </w:p>
    <w:p w14:paraId="0F67FFD6" w14:textId="77777777" w:rsidR="003D094D" w:rsidRDefault="00000000" w:rsidP="003506AD">
      <w:pPr>
        <w:spacing w:after="360"/>
        <w:jc w:val="both"/>
      </w:pPr>
      <w:r>
        <w:rPr>
          <w:i/>
          <w:iCs/>
          <w:color w:val="6F6F6F"/>
        </w:rPr>
        <w:t xml:space="preserve">A kis- és középvállalkozói </w:t>
      </w:r>
      <w:proofErr w:type="gramStart"/>
      <w:r>
        <w:rPr>
          <w:i/>
          <w:iCs/>
          <w:color w:val="6F6F6F"/>
        </w:rPr>
        <w:t>szektor</w:t>
      </w:r>
      <w:proofErr w:type="gramEnd"/>
      <w:r>
        <w:rPr>
          <w:i/>
          <w:iCs/>
          <w:color w:val="6F6F6F"/>
        </w:rPr>
        <w:t xml:space="preserve"> mint a stratégia operatív gerince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52"/>
      </w:tblGrid>
      <w:tr w:rsidR="003D094D" w14:paraId="1442914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3CE5FAE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Verzió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F394CC2" w14:textId="77777777" w:rsidR="003D094D" w:rsidRDefault="00000000" w:rsidP="003506AD">
            <w:pPr>
              <w:jc w:val="both"/>
            </w:pPr>
            <w:r>
              <w:rPr>
                <w:sz w:val="20"/>
                <w:szCs w:val="20"/>
              </w:rPr>
              <w:t>v0.1</w:t>
            </w:r>
          </w:p>
        </w:tc>
      </w:tr>
      <w:tr w:rsidR="003D094D" w14:paraId="6881C58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8CD4D94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Dátum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726045A" w14:textId="77777777" w:rsidR="003D094D" w:rsidRDefault="00000000" w:rsidP="003506AD">
            <w:pPr>
              <w:jc w:val="both"/>
            </w:pPr>
            <w:r>
              <w:rPr>
                <w:sz w:val="20"/>
                <w:szCs w:val="20"/>
              </w:rPr>
              <w:t>2026. június</w:t>
            </w:r>
          </w:p>
        </w:tc>
      </w:tr>
      <w:tr w:rsidR="003D094D" w14:paraId="44E33AB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583241B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Státusz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30D00C5" w14:textId="77777777" w:rsidR="003D094D" w:rsidRDefault="00000000" w:rsidP="003506AD">
            <w:pPr>
              <w:jc w:val="both"/>
            </w:pPr>
            <w:r>
              <w:rPr>
                <w:sz w:val="20"/>
                <w:szCs w:val="20"/>
              </w:rPr>
              <w:t>Tervezet — KKV-alstratégia</w:t>
            </w:r>
          </w:p>
        </w:tc>
      </w:tr>
      <w:tr w:rsidR="003D094D" w14:paraId="03CDD54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C4F69D2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Minősítés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D9B8F1A" w14:textId="77777777" w:rsidR="003D094D" w:rsidRDefault="00000000" w:rsidP="003506AD">
            <w:pPr>
              <w:jc w:val="both"/>
            </w:pPr>
            <w:r>
              <w:rPr>
                <w:sz w:val="20"/>
                <w:szCs w:val="20"/>
              </w:rPr>
              <w:t>Munkaanyag — egyeztetésre</w:t>
            </w:r>
          </w:p>
        </w:tc>
      </w:tr>
      <w:tr w:rsidR="003D094D" w14:paraId="5B68E17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A7BCFF3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Felelős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AE557DF" w14:textId="77777777" w:rsidR="003D094D" w:rsidRDefault="00000000" w:rsidP="003506A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Szekfü</w:t>
            </w:r>
            <w:proofErr w:type="spellEnd"/>
            <w:r>
              <w:rPr>
                <w:sz w:val="20"/>
                <w:szCs w:val="20"/>
              </w:rPr>
              <w:t xml:space="preserve"> Tibor főigazgató · Vonnák Péter ügyvezető igazgató</w:t>
            </w:r>
          </w:p>
        </w:tc>
      </w:tr>
      <w:tr w:rsidR="003D094D" w14:paraId="0F58CF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19FBD05" w14:textId="77777777" w:rsidR="003D094D" w:rsidRDefault="00000000" w:rsidP="003506AD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Dokumentumgazda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8235AA2" w14:textId="77777777" w:rsidR="003D094D" w:rsidRDefault="00000000" w:rsidP="003506AD">
            <w:pPr>
              <w:jc w:val="both"/>
            </w:pPr>
            <w:r>
              <w:rPr>
                <w:sz w:val="20"/>
                <w:szCs w:val="20"/>
              </w:rPr>
              <w:t>MAGYAR FENNTARTHATÓSÁGI KÖZPONT Alapítvány (MFKA)</w:t>
            </w:r>
          </w:p>
        </w:tc>
      </w:tr>
    </w:tbl>
    <w:p w14:paraId="5D1647CA" w14:textId="77777777" w:rsidR="003D094D" w:rsidRDefault="003D094D" w:rsidP="003506AD">
      <w:pPr>
        <w:jc w:val="both"/>
        <w:sectPr w:rsidR="003D094D">
          <w:pgSz w:w="11906" w:h="16838"/>
          <w:pgMar w:top="1417" w:right="1077" w:bottom="1077" w:left="1077" w:header="708" w:footer="708" w:gutter="0"/>
          <w:cols w:space="708"/>
          <w:docGrid w:linePitch="360"/>
        </w:sectPr>
      </w:pPr>
    </w:p>
    <w:p w14:paraId="3ACD09C4" w14:textId="77777777" w:rsidR="003D094D" w:rsidRDefault="00000000" w:rsidP="003506AD">
      <w:pPr>
        <w:spacing w:after="160"/>
        <w:jc w:val="both"/>
      </w:pPr>
      <w:r>
        <w:rPr>
          <w:rFonts w:ascii="Corbel" w:eastAsia="Corbel" w:hAnsi="Corbel" w:cs="Corbel"/>
          <w:b/>
          <w:bCs/>
          <w:color w:val="1E7A34"/>
          <w:sz w:val="32"/>
          <w:szCs w:val="32"/>
        </w:rPr>
        <w:lastRenderedPageBreak/>
        <w:t>Tartalomjegyzék</w:t>
      </w:r>
    </w:p>
    <w:p w14:paraId="66FC87EE" w14:textId="77777777" w:rsidR="003D094D" w:rsidRDefault="00000000" w:rsidP="003506AD">
      <w:pPr>
        <w:spacing w:after="120"/>
        <w:jc w:val="both"/>
      </w:pPr>
      <w:r>
        <w:rPr>
          <w:i/>
          <w:iCs/>
          <w:color w:val="6F6F6F"/>
          <w:sz w:val="18"/>
          <w:szCs w:val="18"/>
        </w:rPr>
        <w:t>A frissítéshez: jobb klikk a jegyzékre › „Mező frissítése”.</w:t>
      </w:r>
    </w:p>
    <w:sdt>
      <w:sdtPr>
        <w:alias w:val="Tartalom"/>
        <w:id w:val="1570229017"/>
      </w:sdtPr>
      <w:sdtContent>
        <w:p w14:paraId="00F7AC9A" w14:textId="77777777" w:rsidR="003506AD" w:rsidRDefault="00000000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r>
            <w:fldChar w:fldCharType="begin"/>
          </w:r>
          <w:r>
            <w:instrText>TOC \h \o "1-1"</w:instrText>
          </w:r>
          <w:r>
            <w:fldChar w:fldCharType="separate"/>
          </w:r>
          <w:hyperlink w:anchor="_Toc231680683" w:history="1">
            <w:r w:rsidR="003506AD" w:rsidRPr="000A1690">
              <w:rPr>
                <w:rStyle w:val="Hiperhivatkozs"/>
                <w:noProof/>
              </w:rPr>
              <w:t>1. Kiindulópont és keret</w:t>
            </w:r>
            <w:r w:rsidR="003506AD">
              <w:rPr>
                <w:noProof/>
              </w:rPr>
              <w:tab/>
            </w:r>
            <w:r w:rsidR="003506AD">
              <w:rPr>
                <w:noProof/>
              </w:rPr>
              <w:fldChar w:fldCharType="begin"/>
            </w:r>
            <w:r w:rsidR="003506AD">
              <w:rPr>
                <w:noProof/>
              </w:rPr>
              <w:instrText xml:space="preserve"> PAGEREF _Toc231680683 \h </w:instrText>
            </w:r>
            <w:r w:rsidR="003506AD">
              <w:rPr>
                <w:noProof/>
              </w:rPr>
            </w:r>
            <w:r w:rsidR="003506AD">
              <w:rPr>
                <w:noProof/>
              </w:rPr>
              <w:fldChar w:fldCharType="separate"/>
            </w:r>
            <w:r w:rsidR="003506AD">
              <w:rPr>
                <w:noProof/>
              </w:rPr>
              <w:t>3</w:t>
            </w:r>
            <w:r w:rsidR="003506AD">
              <w:rPr>
                <w:noProof/>
              </w:rPr>
              <w:fldChar w:fldCharType="end"/>
            </w:r>
          </w:hyperlink>
        </w:p>
        <w:p w14:paraId="38A53C14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4" w:history="1">
            <w:r w:rsidRPr="000A1690">
              <w:rPr>
                <w:rStyle w:val="Hiperhivatkozs"/>
                <w:noProof/>
              </w:rPr>
              <w:t>2. Helyzetkép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35FEA495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5" w:history="1">
            <w:r w:rsidRPr="000A1690">
              <w:rPr>
                <w:rStyle w:val="Hiperhivatkozs"/>
                <w:noProof/>
              </w:rPr>
              <w:t>3. Cél és alapelvek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04FCBADB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6" w:history="1">
            <w:r w:rsidRPr="000A1690">
              <w:rPr>
                <w:rStyle w:val="Hiperhivatkozs"/>
                <w:noProof/>
              </w:rPr>
              <w:t>4. A két oldal: matematika és érzelem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E99050D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7" w:history="1">
            <w:r w:rsidRPr="000A1690">
              <w:rPr>
                <w:rStyle w:val="Hiperhivatkozs"/>
                <w:noProof/>
              </w:rPr>
              <w:t>5. Az integrált vállalkozásfejlesztő csomag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F63A4FA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8" w:history="1">
            <w:r w:rsidRPr="000A1690">
              <w:rPr>
                <w:rStyle w:val="Hiperhivatkozs"/>
                <w:noProof/>
              </w:rPr>
              <w:t>6. A lépcsőzetes mikrohitel-portfólió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CBD0255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89" w:history="1">
            <w:r w:rsidRPr="000A1690">
              <w:rPr>
                <w:rStyle w:val="Hiperhivatkozs"/>
                <w:noProof/>
              </w:rPr>
              <w:t>7. Kereslet, bizalom és piacépítés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A0F45ED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90" w:history="1">
            <w:r w:rsidRPr="000A1690">
              <w:rPr>
                <w:rStyle w:val="Hiperhivatkozs"/>
                <w:noProof/>
              </w:rPr>
              <w:t>8. Méretnövekedés, értéklánc és a finanszírozási lánc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6FA8723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91" w:history="1">
            <w:r w:rsidRPr="000A1690">
              <w:rPr>
                <w:rStyle w:val="Hiperhivatkozs"/>
                <w:noProof/>
              </w:rPr>
              <w:t>9. Intézményi rend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41F3517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92" w:history="1">
            <w:r w:rsidRPr="000A1690">
              <w:rPr>
                <w:rStyle w:val="Hiperhivatkozs"/>
                <w:noProof/>
              </w:rPr>
              <w:t>10. Mérés, ütemezés és kockázatok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C4471FF" w14:textId="77777777" w:rsidR="003506AD" w:rsidRDefault="003506AD" w:rsidP="003506AD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693" w:history="1">
            <w:r w:rsidRPr="000A1690">
              <w:rPr>
                <w:rStyle w:val="Hiperhivatkozs"/>
                <w:noProof/>
              </w:rPr>
              <w:t>11. Záró megjegyzés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_Toc231680693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8D617C8" w14:textId="77777777" w:rsidR="003D094D" w:rsidRDefault="00000000" w:rsidP="003506AD">
          <w:pPr>
            <w:jc w:val="both"/>
          </w:pPr>
          <w:r>
            <w:fldChar w:fldCharType="end"/>
          </w:r>
        </w:p>
      </w:sdtContent>
    </w:sdt>
    <w:p w14:paraId="285B2CD3" w14:textId="77777777" w:rsidR="003D094D" w:rsidRDefault="00000000" w:rsidP="003506AD">
      <w:pPr>
        <w:jc w:val="both"/>
      </w:pPr>
      <w:r>
        <w:br w:type="page"/>
      </w:r>
    </w:p>
    <w:p w14:paraId="4CD353F9" w14:textId="77777777" w:rsidR="003D094D" w:rsidRDefault="00000000" w:rsidP="003506AD">
      <w:pPr>
        <w:pStyle w:val="Cmsor1"/>
        <w:jc w:val="both"/>
      </w:pPr>
      <w:bookmarkStart w:id="0" w:name="_Toc231680683"/>
      <w:r>
        <w:lastRenderedPageBreak/>
        <w:t>1. Kiindulópont és keret</w:t>
      </w:r>
      <w:bookmarkEnd w:id="0"/>
    </w:p>
    <w:p w14:paraId="62494F92" w14:textId="77777777" w:rsidR="003D094D" w:rsidRDefault="00000000" w:rsidP="003506AD">
      <w:pPr>
        <w:spacing w:after="140" w:line="276" w:lineRule="auto"/>
        <w:jc w:val="both"/>
      </w:pPr>
      <w:r>
        <w:t>Ez a dokumentum a gazdaság- és versenyképesség-fejlesztő stratégia KKV-alstratégiája: a 4.1. pillér részletes kifejtése. A kis- és középvállalkozói szektor a stratégia operatív gerince — itt dől el, hogy a növekedés és a versenyképesség a gyakorlatban megvalósul-e.</w:t>
      </w:r>
    </w:p>
    <w:p w14:paraId="317E8542" w14:textId="77777777" w:rsidR="003D094D" w:rsidRDefault="00000000" w:rsidP="003506AD">
      <w:pPr>
        <w:spacing w:after="140" w:line="276" w:lineRule="auto"/>
        <w:jc w:val="both"/>
      </w:pPr>
      <w:r>
        <w:t xml:space="preserve">A kiindulópont, hogy a magyar gond nem a vállalkozások száma, hanem a minőség, a termelékenység és az alkalmazkodóképesség — és emellett egy kevésbé emlegetett, de döntő tényező: a kereslet és a bizalom. A vállalkozásnak két oldala van: egy számszerű, jövedelmezőségi oldal és egy emberi, érzelmi oldal. Egy jó program mindkettőre hat. És mivel egy erős, folyamatosan megújuló </w:t>
      </w:r>
      <w:proofErr w:type="spellStart"/>
      <w:r>
        <w:t>mikrovállalkozói</w:t>
      </w:r>
      <w:proofErr w:type="spellEnd"/>
      <w:r>
        <w:t xml:space="preserve"> réteg megerősítése nem szociálpolitika, hanem versenyképességi infrastruktúra, a rendszerszintű, integrált </w:t>
      </w:r>
      <w:proofErr w:type="spellStart"/>
      <w:r>
        <w:t>mikrohitel</w:t>
      </w:r>
      <w:proofErr w:type="spellEnd"/>
      <w:r>
        <w:t xml:space="preserve"> és üzletfejlesztés maga is stratégiai eszköz.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3D094D" w14:paraId="4EE7FD6C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DCAFA0F" w14:textId="77777777" w:rsidR="003D094D" w:rsidRDefault="00000000" w:rsidP="003506AD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Mit értünk versenyképességen (vállalati szinten)? </w:t>
            </w:r>
            <w:r>
              <w:t xml:space="preserve">A vállalat kompetenciáinak, működési jellemzőinek és tulajdonságainak összessége, amely lehetővé teszi, hogy tartósan és jövedelmezően állítson elő olyan termékeket és szolgáltatásokat, amelyek árban és minőségben kielégítik a vásárlók jelenlegi és jövőbeli igényeit, miközben megőrzi vagy növeli piaci pozícióját. A lényeg </w:t>
            </w:r>
            <w:proofErr w:type="spellStart"/>
            <w:r>
              <w:t>előretekintő</w:t>
            </w:r>
            <w:proofErr w:type="spellEnd"/>
            <w:r>
              <w:t>: a ma meglévő kompetenciák teszik lehetővé a jövőbeli helytállást — és az alstratégia minden eszköze ezeket a kompetenciákat (erőforrások, folyamatok, vezetés, fejlesztés) építi.</w:t>
            </w:r>
          </w:p>
        </w:tc>
      </w:tr>
    </w:tbl>
    <w:p w14:paraId="34F1E842" w14:textId="77777777" w:rsidR="003D094D" w:rsidRDefault="00000000" w:rsidP="003506AD">
      <w:pPr>
        <w:pStyle w:val="Cmsor1"/>
        <w:jc w:val="both"/>
      </w:pPr>
      <w:bookmarkStart w:id="1" w:name="_Toc231680684"/>
      <w:r>
        <w:t>2. Helyzetkép</w:t>
      </w:r>
      <w:bookmarkEnd w:id="1"/>
    </w:p>
    <w:p w14:paraId="3F680584" w14:textId="77777777" w:rsidR="003D094D" w:rsidRDefault="00000000" w:rsidP="003506AD">
      <w:pPr>
        <w:spacing w:after="140" w:line="276" w:lineRule="auto"/>
        <w:jc w:val="both"/>
      </w:pPr>
      <w:r>
        <w:t xml:space="preserve">A KKV-szektor meghatározó: 2024 végén több mint 700 ezer vállalkozás működött (a cégek 99,9%-a), a foglalkoztatás mintegy 70%-át és a hozzáadott érték közel 57%-át adva. A szektor azonban erősen </w:t>
      </w:r>
      <w:proofErr w:type="spellStart"/>
      <w:r>
        <w:t>mikrovállalkozás</w:t>
      </w:r>
      <w:proofErr w:type="spellEnd"/>
      <w:r>
        <w:t>-túlsúlyos, termelékenysége az uniós átlag fele körül van, és reál hozzáadott értéke 2024-ben csökkent.</w:t>
      </w:r>
    </w:p>
    <w:p w14:paraId="14A8751E" w14:textId="77777777" w:rsidR="003D094D" w:rsidRDefault="00000000" w:rsidP="003506AD">
      <w:pPr>
        <w:spacing w:after="140" w:line="276" w:lineRule="auto"/>
        <w:jc w:val="both"/>
      </w:pPr>
      <w:r>
        <w:t>A növekedés három akadálya összefügg:</w:t>
      </w:r>
    </w:p>
    <w:p w14:paraId="1DA1C369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Finanszírozási rés. </w:t>
      </w:r>
      <w:r>
        <w:t>A fedezet nélküli, „nem bankképes” vállalkozások nehezen jutnak forráshoz.</w:t>
      </w:r>
    </w:p>
    <w:p w14:paraId="61D25FDF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Méret- és menedzsmentkorlát. </w:t>
      </w:r>
      <w:r>
        <w:t>Hiányzik a növekedés, a középvállalattá lépés és a korszerű vezetés.</w:t>
      </w:r>
    </w:p>
    <w:p w14:paraId="5EB4C7D9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Kereslet- és bizalomhiány. </w:t>
      </w:r>
      <w:r>
        <w:t>Sok kezdő számára a nyereségesség reménytelennek tűnik, ezért inkább alkalmazott lesz, vagy külföldre megy.</w:t>
      </w:r>
    </w:p>
    <w:p w14:paraId="5863C7DE" w14:textId="77777777" w:rsidR="003D094D" w:rsidRDefault="00000000" w:rsidP="003506AD">
      <w:pPr>
        <w:spacing w:after="140" w:line="276" w:lineRule="auto"/>
        <w:jc w:val="both"/>
      </w:pPr>
      <w:r>
        <w:t>Mindezt tetézi a generációs gond: a vállalkozói bázis öregszik, a fiatalok elvándorolnak. A KKV-alstratégia ezekre együtt ad választ.</w:t>
      </w:r>
    </w:p>
    <w:p w14:paraId="06F7690B" w14:textId="77777777" w:rsidR="003D094D" w:rsidRDefault="00000000" w:rsidP="003506AD">
      <w:pPr>
        <w:pStyle w:val="Cmsor1"/>
        <w:jc w:val="both"/>
      </w:pPr>
      <w:bookmarkStart w:id="2" w:name="_Toc231680685"/>
      <w:r>
        <w:t>3. Cél és alapelvek</w:t>
      </w:r>
      <w:bookmarkEnd w:id="2"/>
    </w:p>
    <w:p w14:paraId="5C8572DB" w14:textId="77777777" w:rsidR="003D094D" w:rsidRDefault="00000000" w:rsidP="003506AD">
      <w:pPr>
        <w:spacing w:after="140" w:line="276" w:lineRule="auto"/>
        <w:jc w:val="both"/>
      </w:pPr>
      <w:r>
        <w:t xml:space="preserve">A cél nem több vállalkozás, hanem több életképes, növekvő, technológiát használó, exportképes és a középvállalati méret felé lépő KKV — a </w:t>
      </w:r>
      <w:proofErr w:type="spellStart"/>
      <w:r>
        <w:t>mikro</w:t>
      </w:r>
      <w:proofErr w:type="spellEnd"/>
      <w:r>
        <w:t>- és kisvállalkozói szegmens kiemelt figyelmével. Ezzel együtt a vállalkozói bázis generációs megújulása és a vállalkozói önbizalom helyreállítása: hogy a vállalkozás reális, vonzó és megtámogatott életpálya legyen, ne reménytelen kockázat.</w:t>
      </w:r>
    </w:p>
    <w:p w14:paraId="06942DAE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Integrált csomag, nem szétszórt eszközök. </w:t>
      </w:r>
      <w:r>
        <w:t>A finanszírozás, a tanácsadás, az AI és a mentorálás egyetlen, egymást erősítő egység.</w:t>
      </w:r>
    </w:p>
    <w:p w14:paraId="7DA911D2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Kínálati és keresleti oldal együtt. </w:t>
      </w:r>
      <w:r>
        <w:t>Nemcsak eszközt adunk, hanem keresletet és bizalmat is építünk.</w:t>
      </w:r>
    </w:p>
    <w:p w14:paraId="5A1DAC89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Elérhető első lépés, biztonságos bukás. </w:t>
      </w:r>
      <w:r>
        <w:t>A kezdés legyen kicsi és kockázat-csökkentett; a tisztességes kudarc ne legyen megbélyegző, és segítsünk újrakezdeni.</w:t>
      </w:r>
    </w:p>
    <w:p w14:paraId="3F70D85D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A fiatalok kiemelten, de befogadóan. </w:t>
      </w:r>
      <w:r>
        <w:t>A program a fiatalokra épít, de a karrierváltókat és a hazatérőket is elkapja.</w:t>
      </w:r>
    </w:p>
    <w:p w14:paraId="67294465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Normatív, kiszámítható támogatás. </w:t>
      </w:r>
      <w:r>
        <w:t>Átlátható, szabályalapú eszközök a pályázgatás helyett — ez bizalmat is épít.</w:t>
      </w:r>
    </w:p>
    <w:p w14:paraId="3531C403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Küldetés-koherens intézmények. </w:t>
      </w:r>
      <w:r>
        <w:t>A társadalmi célú feladatot nonprofit platform viszi; a nagyobb, piaci finanszírozást más szereplők.</w:t>
      </w:r>
    </w:p>
    <w:p w14:paraId="51398174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Mérhetőség. </w:t>
      </w:r>
      <w:r>
        <w:t>Minden célhoz mutató és mérföldkő tartozik, kontrollcsoportos hatásméréssel.</w:t>
      </w:r>
    </w:p>
    <w:p w14:paraId="26281B3B" w14:textId="77777777" w:rsidR="003D094D" w:rsidRDefault="00000000" w:rsidP="003506AD">
      <w:pPr>
        <w:pStyle w:val="Cmsor1"/>
        <w:jc w:val="both"/>
      </w:pPr>
      <w:bookmarkStart w:id="3" w:name="_Toc231680686"/>
      <w:r>
        <w:t>4. A két oldal: matematika és érzelem</w:t>
      </w:r>
      <w:bookmarkEnd w:id="3"/>
    </w:p>
    <w:p w14:paraId="6BA962F9" w14:textId="77777777" w:rsidR="003D094D" w:rsidRDefault="00000000" w:rsidP="003506AD">
      <w:pPr>
        <w:spacing w:after="140" w:line="276" w:lineRule="auto"/>
        <w:jc w:val="both"/>
      </w:pPr>
      <w:r>
        <w:t>A vállalkozóvá válásnak két oldala van, és mindkettő dönt.</w:t>
      </w:r>
    </w:p>
    <w:p w14:paraId="5C46E1AB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A matematikai oldal. </w:t>
      </w:r>
      <w:r>
        <w:t xml:space="preserve">A kezdő, veszteséges szakasz — a „halálvölgy” — átvészeléséhez tőke és kitartás kell. Ha ez hiányzik, a vállalkozás reménytelennek tűnik. Egy </w:t>
      </w:r>
      <w:proofErr w:type="spellStart"/>
      <w:r>
        <w:t>kétfős</w:t>
      </w:r>
      <w:proofErr w:type="spellEnd"/>
      <w:r>
        <w:t>, induló szellemi szolgáltató cég havi fix költsége és a nullszaldóig tartó út akár több tízmilliós tőkeigényt is jelenthet; enélkül a fiatal a biztos alkalmazotti létet vagy a külföldi munkát választja.</w:t>
      </w:r>
    </w:p>
    <w:p w14:paraId="264C36AA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Az érzelmi oldal. </w:t>
      </w:r>
      <w:r>
        <w:t xml:space="preserve">A vállalkozás </w:t>
      </w:r>
      <w:proofErr w:type="spellStart"/>
      <w:r>
        <w:t>vonzereje</w:t>
      </w:r>
      <w:proofErr w:type="spellEnd"/>
      <w:r>
        <w:t xml:space="preserve"> a függetlenség, az önállóság, a szabadság, az önkiteljesedés és a bátorság — kiemelten a fiatalok számára. Ez közvetlen kapcsolat a stratégia végső céljához, a jólléthez.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3D094D" w14:paraId="42AFAA76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4D9CD8E" w14:textId="77777777" w:rsidR="003D094D" w:rsidRDefault="00000000" w:rsidP="003506AD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A program mindkét oldalra hat. </w:t>
            </w:r>
            <w:r>
              <w:t>A matematikai oldalon csökkenti a kockázatot és elérhetővé teszi az első lépést; az érzelmi oldalon vonzó, bátorító üzenetet ad — segítünk, nem szégyen elbukni, segítünk újrakezdeni —, és a tisztességes (nem felelőtlen, nem csalárd) kudarcot tanulható, újrakezdhető lépésként kezeli.</w:t>
            </w:r>
          </w:p>
        </w:tc>
      </w:tr>
    </w:tbl>
    <w:p w14:paraId="682B3D97" w14:textId="77777777" w:rsidR="003D094D" w:rsidRDefault="00000000" w:rsidP="003506AD">
      <w:pPr>
        <w:pStyle w:val="Cmsor1"/>
        <w:jc w:val="both"/>
      </w:pPr>
      <w:bookmarkStart w:id="4" w:name="_Toc231680687"/>
      <w:r>
        <w:t>5. Az integrált vállalkozásfejlesztő csomag</w:t>
      </w:r>
      <w:bookmarkEnd w:id="4"/>
    </w:p>
    <w:p w14:paraId="5DE6CA0E" w14:textId="77777777" w:rsidR="003D094D" w:rsidRDefault="00000000" w:rsidP="003506AD">
      <w:pPr>
        <w:spacing w:after="140" w:line="276" w:lineRule="auto"/>
        <w:jc w:val="both"/>
      </w:pPr>
      <w:r>
        <w:t>A KKV-alstratégia központi eszköze egy integrált csomag, amely négy dolgot kezel együtt, nem külön programokként:</w:t>
      </w:r>
    </w:p>
    <w:p w14:paraId="79E2731E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Finanszírozás. </w:t>
      </w:r>
      <w:r>
        <w:t xml:space="preserve">A lépcsőzetes </w:t>
      </w:r>
      <w:proofErr w:type="spellStart"/>
      <w:r>
        <w:t>mikrohitel</w:t>
      </w:r>
      <w:proofErr w:type="spellEnd"/>
      <w:r>
        <w:t>-portfólió (lásd a következő fejezetet) és a fölötte lévő finanszírozási lánc.</w:t>
      </w:r>
    </w:p>
    <w:p w14:paraId="7F6745A6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Üzletfejlesztési tanácsadás. </w:t>
      </w:r>
      <w:r>
        <w:t>Kötelező, gyakorlati felkészítés és kísérés (BDS).</w:t>
      </w:r>
    </w:p>
    <w:p w14:paraId="37E7E5F8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 és digitalizáció. </w:t>
      </w:r>
      <w:r>
        <w:t>Gyakorlati AI-használati és digitális marketing felkészítés, az AI-alstratégiához kötve.</w:t>
      </w:r>
    </w:p>
    <w:p w14:paraId="566E2DE3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Mentorálás. </w:t>
      </w:r>
      <w:r>
        <w:t>Személyes kísérés, a kezdeti elszigeteltség oldása.</w:t>
      </w:r>
    </w:p>
    <w:p w14:paraId="5BE352A7" w14:textId="77777777" w:rsidR="003D094D" w:rsidRDefault="00000000" w:rsidP="003506AD">
      <w:pPr>
        <w:spacing w:after="140" w:line="276" w:lineRule="auto"/>
        <w:jc w:val="both"/>
      </w:pPr>
      <w:r>
        <w:t>A négy elem együtt hat: a hitel önmagában kevés, ha hiányzik a tudás és a kísérés; a képzés önmagában kevés, ha nincs tőke. Az integrált csomag éppen ezt a hibát küszöböli ki.</w:t>
      </w:r>
    </w:p>
    <w:p w14:paraId="3AE6ADCE" w14:textId="77777777" w:rsidR="003D094D" w:rsidRDefault="00000000" w:rsidP="003506AD">
      <w:pPr>
        <w:pStyle w:val="Cmsor1"/>
        <w:jc w:val="both"/>
      </w:pPr>
      <w:bookmarkStart w:id="5" w:name="_Toc231680688"/>
      <w:r>
        <w:t xml:space="preserve">6. A lépcsőzetes </w:t>
      </w:r>
      <w:proofErr w:type="spellStart"/>
      <w:r>
        <w:t>mikrohitel</w:t>
      </w:r>
      <w:proofErr w:type="spellEnd"/>
      <w:r>
        <w:t>-portfólió</w:t>
      </w:r>
      <w:bookmarkEnd w:id="5"/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3D094D" w14:paraId="15EA9A23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3EA68935" w14:textId="77777777" w:rsidR="003D094D" w:rsidRDefault="00000000" w:rsidP="003506AD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Miért stratégiai a </w:t>
            </w:r>
            <w:proofErr w:type="spellStart"/>
            <w:r>
              <w:rPr>
                <w:b/>
                <w:bCs/>
                <w:color w:val="1E7A34"/>
              </w:rPr>
              <w:t>mikrohitel</w:t>
            </w:r>
            <w:proofErr w:type="spellEnd"/>
            <w:r>
              <w:rPr>
                <w:b/>
                <w:bCs/>
                <w:color w:val="1E7A34"/>
              </w:rPr>
              <w:t xml:space="preserve"> és az üzletfejlesztés? </w:t>
            </w:r>
            <w:r>
              <w:t xml:space="preserve">Egy erős, folyamatosan megújuló </w:t>
            </w:r>
            <w:proofErr w:type="spellStart"/>
            <w:r>
              <w:t>mikrovállalkozói</w:t>
            </w:r>
            <w:proofErr w:type="spellEnd"/>
            <w:r>
              <w:t xml:space="preserve"> réteg nem szociálpolitikai cél, hanem versenyképességi infrastruktúra: ez adja a foglalkoztatás és a hozzáadott érték széles bázisát, a vállalkozói bázis generációs megújulását, az AI- és termelékenységi fejlődés terjedési felületét, és a sokféleségből fakadó válságállóságot. Ezért a rendszerszintű, integrált </w:t>
            </w:r>
            <w:proofErr w:type="spellStart"/>
            <w:r>
              <w:t>mikrohitel</w:t>
            </w:r>
            <w:proofErr w:type="spellEnd"/>
            <w:r>
              <w:t xml:space="preserve"> és üzletfejlesztés — amely egyszerre kezeli a finanszírozási, a </w:t>
            </w:r>
            <w:proofErr w:type="spellStart"/>
            <w:r>
              <w:t>képességbeli</w:t>
            </w:r>
            <w:proofErr w:type="spellEnd"/>
            <w:r>
              <w:t xml:space="preserve"> és a bizalmi hiányt — maga is stratégiai eszköz, nem pusztán operatív részlet.</w:t>
            </w:r>
          </w:p>
        </w:tc>
      </w:tr>
    </w:tbl>
    <w:p w14:paraId="6427E90F" w14:textId="77777777" w:rsidR="003D094D" w:rsidRDefault="00000000" w:rsidP="003506AD">
      <w:pPr>
        <w:spacing w:after="140" w:line="276" w:lineRule="auto"/>
        <w:jc w:val="both"/>
      </w:pPr>
      <w:r>
        <w:lastRenderedPageBreak/>
        <w:t xml:space="preserve">A finanszírozás társadalmi célú, fedezet nélküli, az Európai Beruházási Alap (EIF) garanciájára és vegyes (támogatás és hitel együtt) finanszírozásra épül, az európai </w:t>
      </w:r>
      <w:proofErr w:type="spellStart"/>
      <w:r>
        <w:t>mikrohitelezési</w:t>
      </w:r>
      <w:proofErr w:type="spellEnd"/>
      <w:r>
        <w:t xml:space="preserve"> etikai kódexszel összhangban. Közös jellemző: nincs ingatlanfedezet, az indulásnál törlesztési könnyítés, és teljesítményalapú tőkeelengedés a sikeres, késedelemmentes ügyfeleknek. Három, célzott termék:</w:t>
      </w:r>
    </w:p>
    <w:p w14:paraId="6A24D510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JUNIOR START (30 év alatt). </w:t>
      </w:r>
      <w:r>
        <w:t>Lépcsőzetes: az ötlet fázisban kisebb (</w:t>
      </w:r>
      <w:proofErr w:type="spellStart"/>
      <w:r>
        <w:t>jelzésértékűen</w:t>
      </w:r>
      <w:proofErr w:type="spellEnd"/>
      <w:r>
        <w:t xml:space="preserve"> legfeljebb 5 millió Ft), a skálázásnál nagyobb (legfeljebb 20 millió Ft) összeg. Hosszú futamidő, az első időszakban törlesztési moratórium és 0% kamat, később alacsony, fix kamat. A 6. év végén, ha az ügyfél késedelemmentes és teljesítette a felkészítést, a fennmaradó tőketartozás elengedhető. Kötelező alapozó vállalkozói és AI-tréning, induló digitális marketinggel. Ez töri meg a „halálvölgy” reménytelenségét.</w:t>
      </w:r>
    </w:p>
    <w:p w14:paraId="220EC73E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SENIOR START (30 év felett). </w:t>
      </w:r>
      <w:r>
        <w:t>A karrierváltóknak, a korábban elbukott vállalkozóknak és a kényszervállalkozóknak: kisebb összeg, az elején törlesztési könnyítéssel; célzott digitalizációs és AI-mentorálással; sikeres teljesítés esetén részleges tőkeelengedéssel.</w:t>
      </w:r>
    </w:p>
    <w:p w14:paraId="2BFE55BD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HAZATÉRŐ. </w:t>
      </w:r>
      <w:r>
        <w:t>A külföldről hazatérőknek: a hazai vállalkozásba való visszailleszkedés támogatása — közvetlen válasz az elvándorlásra.</w:t>
      </w:r>
    </w:p>
    <w:p w14:paraId="572C00AF" w14:textId="77777777" w:rsidR="003D094D" w:rsidRDefault="00000000" w:rsidP="003506AD">
      <w:pPr>
        <w:spacing w:after="140" w:line="276" w:lineRule="auto"/>
        <w:jc w:val="both"/>
      </w:pPr>
      <w:r>
        <w:t>A lépcsőzetesség lényege: az első fok kicsi és elérhető, a kockázat megosztott, a siker pedig jutalmazott. (A pontos összegek és feltételek az operatív intézkedési tervben véglegesülnek.)</w:t>
      </w:r>
    </w:p>
    <w:p w14:paraId="4E232F49" w14:textId="77777777" w:rsidR="003D094D" w:rsidRDefault="00000000" w:rsidP="003506AD">
      <w:pPr>
        <w:pStyle w:val="Cmsor1"/>
        <w:jc w:val="both"/>
      </w:pPr>
      <w:bookmarkStart w:id="6" w:name="_Toc231680689"/>
      <w:r>
        <w:t>7. Kereslet, bizalom és piacépítés</w:t>
      </w:r>
      <w:bookmarkEnd w:id="6"/>
    </w:p>
    <w:p w14:paraId="36D9EB12" w14:textId="77777777" w:rsidR="003D094D" w:rsidRDefault="00000000" w:rsidP="003506AD">
      <w:pPr>
        <w:spacing w:after="140" w:line="276" w:lineRule="auto"/>
        <w:jc w:val="both"/>
      </w:pPr>
      <w:r>
        <w:t>A legjobb eszköz is hatástalan, ha nincs kereslet és bizalom. Ezért a kínálati oldal mellett:</w:t>
      </w:r>
    </w:p>
    <w:p w14:paraId="611BEC6D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Keresletoldali eszközök. </w:t>
      </w:r>
      <w:r>
        <w:t xml:space="preserve">A közbeszerzés megnyitása a </w:t>
      </w:r>
      <w:proofErr w:type="spellStart"/>
      <w:r>
        <w:t>mikro</w:t>
      </w:r>
      <w:proofErr w:type="spellEnd"/>
      <w:r>
        <w:t>- és kisvállalkozások felé; helyi piacépítés; valamint export- és új piaci felkészítés (piaci diverzifikáció).</w:t>
      </w:r>
    </w:p>
    <w:p w14:paraId="0749F81A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Bizalom-helyreállítás. </w:t>
      </w:r>
      <w:r>
        <w:t>Az átlátható, kiszámítható, szabályalapú eszközök maguk is bizalmat építenek a kiszámíthatatlan, kapcsolati alapú elosztással szemben. A kiszámíthatóság — éveken át — bátorítja a belevágást és a beruházást.</w:t>
      </w:r>
    </w:p>
    <w:p w14:paraId="3BBFC381" w14:textId="77777777" w:rsidR="003D094D" w:rsidRDefault="00000000" w:rsidP="003506AD">
      <w:pPr>
        <w:spacing w:after="140" w:line="276" w:lineRule="auto"/>
        <w:jc w:val="both"/>
      </w:pPr>
      <w:r>
        <w:t>A kereslet és a bizalom nem hangulati kérdés, hanem a vállalkozói kedv és a túlélés feltétele.</w:t>
      </w:r>
    </w:p>
    <w:p w14:paraId="46BBFF55" w14:textId="77777777" w:rsidR="003D094D" w:rsidRDefault="00000000" w:rsidP="003506AD">
      <w:pPr>
        <w:pStyle w:val="Cmsor1"/>
        <w:jc w:val="both"/>
      </w:pPr>
      <w:bookmarkStart w:id="7" w:name="_Toc231680690"/>
      <w:r>
        <w:t>8. Méretnövekedés, értéklánc és a finanszírozási lánc</w:t>
      </w:r>
      <w:bookmarkEnd w:id="7"/>
    </w:p>
    <w:p w14:paraId="353F470E" w14:textId="77777777" w:rsidR="003D094D" w:rsidRDefault="00000000" w:rsidP="003506AD">
      <w:pPr>
        <w:spacing w:after="140" w:line="276" w:lineRule="auto"/>
        <w:jc w:val="both"/>
      </w:pPr>
      <w:r>
        <w:t>Az életképességen túl a cél a növekedés és a feljebb lépés:</w:t>
      </w:r>
    </w:p>
    <w:p w14:paraId="5795C27F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Méretnövekedés. </w:t>
      </w:r>
      <w:r>
        <w:t xml:space="preserve">A </w:t>
      </w:r>
      <w:proofErr w:type="spellStart"/>
      <w:r>
        <w:t>mikro→kis</w:t>
      </w:r>
      <w:proofErr w:type="spellEnd"/>
      <w:r>
        <w:t xml:space="preserve"> és </w:t>
      </w:r>
      <w:proofErr w:type="spellStart"/>
      <w:r>
        <w:t>kis→közép</w:t>
      </w:r>
      <w:proofErr w:type="spellEnd"/>
      <w:r>
        <w:t xml:space="preserve"> átlépés ösztönzése, korszerű vezetéssel (menedzsment-fejlesztés).</w:t>
      </w:r>
    </w:p>
    <w:p w14:paraId="275356E2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Értéklánc és beszállítás. </w:t>
      </w:r>
      <w:r>
        <w:t>A nagyvállalati bázishoz kapcsolt KKV-k feljebb lépése az értékláncban; beszállítófejlesztés.</w:t>
      </w:r>
    </w:p>
    <w:p w14:paraId="4338E049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Körforgásos, anyaghatékony résprogram. </w:t>
      </w:r>
      <w:r>
        <w:t xml:space="preserve">Az erőforrás-szűkösséget versenyelőnnyé fordító, </w:t>
      </w:r>
      <w:proofErr w:type="spellStart"/>
      <w:r>
        <w:t>újrahasznosító</w:t>
      </w:r>
      <w:proofErr w:type="spellEnd"/>
      <w:r>
        <w:t xml:space="preserve"> tevékenységek.</w:t>
      </w:r>
    </w:p>
    <w:p w14:paraId="78013598" w14:textId="77777777" w:rsidR="003D094D" w:rsidRDefault="00000000" w:rsidP="003506AD">
      <w:pPr>
        <w:spacing w:after="140" w:line="276" w:lineRule="auto"/>
        <w:jc w:val="both"/>
      </w:pPr>
      <w:r>
        <w:t xml:space="preserve">A növekvő vállalkozás a finanszírozási láncon is feljebb lép. A lánc: társadalmi célú </w:t>
      </w:r>
      <w:proofErr w:type="spellStart"/>
      <w:r>
        <w:t>mikrohitel</w:t>
      </w:r>
      <w:proofErr w:type="spellEnd"/>
      <w:r>
        <w:t xml:space="preserve"> → az MFB által refinanszírozott pénzügyi vállalkozások (a nagyobb összegű, „középmező” finanszírozása) → kereskedelmi banki finanszírozás → a valóban skálázható kevesek számára kockázati tőke és állami tőkealapok. Minden szintnek megvan a maga szereplője; a lényeg, hogy az alulról </w:t>
      </w:r>
      <w:proofErr w:type="spellStart"/>
      <w:r>
        <w:t>felnövő</w:t>
      </w:r>
      <w:proofErr w:type="spellEnd"/>
      <w:r>
        <w:t xml:space="preserve"> vállalkozás előtt nyitva legyen az út. A lánc legalsó, társadalmi célú szintjének működéséhez megfelelő, EU-konform jogi keret szükséges — ennek megteremtése a végrehajtás első lépései közé tartozik (lásd az operatív intézkedési tervet).</w:t>
      </w:r>
    </w:p>
    <w:p>
      <w:pPr/>
      <w:r>
        <w:rPr>
          <w:b/>
        </w:rPr>
        <w:t xml:space="preserve">A finanszírozási lánc nem-hitel rétege — zárt körű vállalkozói pontrendszer. </w:t>
      </w:r>
      <w:r>
        <w:t>A hiteljellegű eszközök mellett a mikro- és kisvállalkozások likviditását egy zárt körű, digitális, forgásösztönző pontrendszer is erősítheti: alanyi jogon juttatott, egymás közötti elszámolásra szolgáló pontkeret, amely a likviditáshiány miatt elmaradt B2B-tranzakciókat mozgósítja, miközben az ÁFA forintban azonnali adóbevételt ad, és a zárt digitális rendszer fehéríti a forgalmat. Mivel nem hitel és nem párhuzamos pénz, a finanszírozási lánc önálló, kiegészítő rétegeként kezelendő; bevezetése jogi előzetes tisztázást és pilot-kalibrációt igényel. Részletek a külön program-leírásban.</w:t>
      </w:r>
    </w:p>
    <w:p w14:paraId="617209B1" w14:textId="77777777" w:rsidR="003D094D" w:rsidRDefault="00000000" w:rsidP="003506AD">
      <w:pPr>
        <w:pStyle w:val="Cmsor1"/>
        <w:jc w:val="both"/>
      </w:pPr>
      <w:bookmarkStart w:id="8" w:name="_Toc231680691"/>
      <w:r>
        <w:lastRenderedPageBreak/>
        <w:t>9. Intézményi rend</w:t>
      </w:r>
      <w:bookmarkEnd w:id="8"/>
    </w:p>
    <w:p w14:paraId="6EEAC6B5" w14:textId="77777777" w:rsidR="003D094D" w:rsidRDefault="00000000" w:rsidP="003506AD">
      <w:pPr>
        <w:spacing w:after="140" w:line="276" w:lineRule="auto"/>
        <w:jc w:val="both"/>
      </w:pPr>
      <w:r>
        <w:t xml:space="preserve">A végrehajtás küldetés-koherens, </w:t>
      </w:r>
      <w:proofErr w:type="spellStart"/>
      <w:r>
        <w:t>hub</w:t>
      </w:r>
      <w:proofErr w:type="spellEnd"/>
      <w:r>
        <w:t xml:space="preserve"> &amp; </w:t>
      </w:r>
      <w:proofErr w:type="spellStart"/>
      <w:r>
        <w:t>spoke</w:t>
      </w:r>
      <w:proofErr w:type="spellEnd"/>
      <w:r>
        <w:t xml:space="preserve"> (központ és küllők) modellben működik:</w:t>
      </w:r>
    </w:p>
    <w:p w14:paraId="3FD5EDD0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Központ. </w:t>
      </w:r>
      <w:r>
        <w:t xml:space="preserve">A társadalmi célú </w:t>
      </w:r>
      <w:proofErr w:type="spellStart"/>
      <w:r>
        <w:t>mikrofinanszírozást</w:t>
      </w:r>
      <w:proofErr w:type="spellEnd"/>
      <w:r>
        <w:t xml:space="preserve"> és vállalkozásfejlesztést közhasznú, nonprofit szakmai platform koordinálja (forrásgazda és sztenderdadó), a megyei vállalkozásfejlesztési alapítványok hálózatára támaszkodva.</w:t>
      </w:r>
    </w:p>
    <w:p w14:paraId="0D11194F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Küllők. </w:t>
      </w:r>
      <w:r>
        <w:t xml:space="preserve">A helyi, ügyfélközeli végrehajtást a </w:t>
      </w:r>
      <w:proofErr w:type="spellStart"/>
      <w:r>
        <w:t>Mikrohitel</w:t>
      </w:r>
      <w:proofErr w:type="spellEnd"/>
      <w:r>
        <w:t xml:space="preserve"> Pontok (kiemelt partnerek) és az Értékesítési Pontok végzik.</w:t>
      </w:r>
    </w:p>
    <w:p w14:paraId="6404AFE2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nagyobb finanszírozás. </w:t>
      </w:r>
      <w:r>
        <w:t>A fölötte lévő rétegeket a fejlesztési-pénzügyi intézmény (MFB) és a pénzügyi vállalkozások viszik; a fedezethiányt EIF-garancia ellentételezi.</w:t>
      </w:r>
    </w:p>
    <w:p w14:paraId="22DC562F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Minőségbiztosítás. </w:t>
      </w:r>
      <w:r>
        <w:t>A tanácsadást akkreditált szakértői rendszer és egyetemi képzési háttér támogatja.</w:t>
      </w:r>
    </w:p>
    <w:p w14:paraId="79E2FDD2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Szerepelosztás. </w:t>
      </w:r>
      <w:r>
        <w:t>Az állam a sztenderdeket, a garanciát és a kiszámítható szabályokat adja; a hálózat a szakosodást és az utolsó kilométert.</w:t>
      </w:r>
    </w:p>
    <w:p w14:paraId="14305CB3" w14:textId="77777777" w:rsidR="003D094D" w:rsidRDefault="00000000" w:rsidP="003506AD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Integritás és átláthatóság. </w:t>
      </w:r>
      <w:r>
        <w:t xml:space="preserve">A program végrehajtása normatív, szabályalapú és nyomon követhető: a tervezési, kiírási, végrehajtási és ellenőrzési funkciók elkülönülnek, ahol pályáztatás marad, ott külső, akkreditált értékelőkkel; a folyamatok átláthatók és </w:t>
      </w:r>
      <w:proofErr w:type="spellStart"/>
      <w:r>
        <w:t>adatvezérelten</w:t>
      </w:r>
      <w:proofErr w:type="spellEnd"/>
      <w:r>
        <w:t xml:space="preserve"> követhetők, így a felelősség személyhez köthető, és a visszaélés tere minimális.</w:t>
      </w:r>
    </w:p>
    <w:p w14:paraId="1E60F8CD" w14:textId="77777777" w:rsidR="003D094D" w:rsidRDefault="00000000" w:rsidP="003506AD">
      <w:pPr>
        <w:pStyle w:val="Cmsor1"/>
        <w:jc w:val="both"/>
      </w:pPr>
      <w:bookmarkStart w:id="9" w:name="_Toc231680692"/>
      <w:r>
        <w:t>10. Mérés, ütemezés és kockázatok</w:t>
      </w:r>
      <w:bookmarkEnd w:id="9"/>
    </w:p>
    <w:p w14:paraId="093585AD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Mérés. </w:t>
      </w:r>
      <w:r>
        <w:t xml:space="preserve">A KKV-termelékenység közelítése az uniós átlaghoz; a </w:t>
      </w:r>
      <w:proofErr w:type="spellStart"/>
      <w:r>
        <w:t>mikro→kis</w:t>
      </w:r>
      <w:proofErr w:type="spellEnd"/>
      <w:r>
        <w:t xml:space="preserve"> és </w:t>
      </w:r>
      <w:proofErr w:type="spellStart"/>
      <w:r>
        <w:t>kis→közép</w:t>
      </w:r>
      <w:proofErr w:type="spellEnd"/>
      <w:r>
        <w:t xml:space="preserve"> átlépések száma; a hozzáadott érték növekedése; a kezelt </w:t>
      </w:r>
      <w:proofErr w:type="spellStart"/>
      <w:r>
        <w:t>mikrohitel</w:t>
      </w:r>
      <w:proofErr w:type="spellEnd"/>
      <w:r>
        <w:t xml:space="preserve">-állomány és a Junior, </w:t>
      </w:r>
      <w:proofErr w:type="spellStart"/>
      <w:r>
        <w:t>Senior</w:t>
      </w:r>
      <w:proofErr w:type="spellEnd"/>
      <w:r>
        <w:t>, Hazatérő ügyletek száma; a támogatott vállalkozások túlélési rátája a kontrollcsoport felett; a vállalkozói szándék, a hazatérési arány és a beruházási hajlandóság; valamint a kkv-knak jutó közbeszerzési részarány.</w:t>
      </w:r>
    </w:p>
    <w:p w14:paraId="6555EFF9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Versenyképességi önértékelés. </w:t>
      </w:r>
      <w:r>
        <w:t xml:space="preserve">A vállalati versenyképesség mérhetővé tételére a vállalkozói versenyképességi önértékelés (gyorsteszt, kidolgozás alatt) szolgál, amely a kompetenciaterületeket pontozza — erőforrások (humán, tudás, pénzügy, technológia), folyamatok (termelékenység, minőség, értékesítés), vezetés (stratégia, változásmenedzsment) és fejlesztés (innováció, fenntarthatóság). Három haszna: a cégvezető gyorsan, objektíven látja, hol áll; a diagnózis alapján célzottan illeszthető hozzá az integrált csomag; aggregált, </w:t>
      </w:r>
      <w:proofErr w:type="spellStart"/>
      <w:r>
        <w:t>anonimizált</w:t>
      </w:r>
      <w:proofErr w:type="spellEnd"/>
      <w:r>
        <w:t xml:space="preserve"> formában — AI-támogatással — a szektor versenyképességéről ad valós idejű képet.</w:t>
      </w:r>
    </w:p>
    <w:p w14:paraId="2CE41127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Ütemezés. </w:t>
      </w:r>
      <w:r>
        <w:t>2026–2027: alapozás (az integrált csomag és a portfólió indítása, normatív elosztás); 2028–2031: bővítés (országos kiterjesztés, méretnövekedés, keresletoldali eszközök); 2031–2036: beérés (termelékenységi közeledés, generációs megújulás).</w:t>
      </w:r>
    </w:p>
    <w:p w14:paraId="4472DC03" w14:textId="77777777" w:rsidR="003D094D" w:rsidRDefault="00000000" w:rsidP="003506AD">
      <w:pPr>
        <w:spacing w:after="140" w:line="276" w:lineRule="auto"/>
        <w:jc w:val="both"/>
      </w:pPr>
      <w:r>
        <w:rPr>
          <w:b/>
          <w:bCs/>
        </w:rPr>
        <w:t xml:space="preserve">Kockázatok. </w:t>
      </w:r>
      <w:r>
        <w:t>Ha a kereslet és a bizalom kezeletlen marad, az eszközök hatástalanok; a tőkeelengedésnél a teljesítményalapú, tisztességes kudarchoz kötött feltétel zárja ki a visszaélést; az egyszeri forrásokra épített rendszer és a túlbürokratizálás szintén kockázat. Ezeket az integrált felépítés, a normatív finanszírozás, a kereslet- és bizalomépítés és a kontrollcsoportos mérés kezeli.</w:t>
      </w:r>
    </w:p>
    <w:p w14:paraId="056F2693" w14:textId="77777777" w:rsidR="003D094D" w:rsidRDefault="00000000" w:rsidP="003506AD">
      <w:pPr>
        <w:pStyle w:val="Cmsor1"/>
        <w:jc w:val="both"/>
      </w:pPr>
      <w:bookmarkStart w:id="10" w:name="_Toc231680693"/>
      <w:r>
        <w:t>11. Záró megjegyzés</w:t>
      </w:r>
      <w:bookmarkEnd w:id="10"/>
    </w:p>
    <w:p w14:paraId="142793D2" w14:textId="77777777" w:rsidR="003D094D" w:rsidRDefault="00000000" w:rsidP="003506AD">
      <w:pPr>
        <w:spacing w:after="140" w:line="276" w:lineRule="auto"/>
        <w:jc w:val="both"/>
      </w:pPr>
      <w:r>
        <w:t>Ez a KKV-alstratégia a 4.1. pillér gyakorlati kifejtése, a fő stratégia logikáját követve. A konkrét konstrukciók, összegek, határidők és felelősök a későbbi operatív intézkedési tervben kerülnek véglegesítésre. Az AI- és a KKV-alstratégia együtt adja az operatív terv két fő alapját.</w:t>
      </w:r>
    </w:p>
    <w:sectPr w:rsidR="003D094D">
      <w:headerReference w:type="default" r:id="rId7"/>
      <w:footerReference w:type="default" r:id="rId8"/>
      <w:pgSz w:w="11906" w:h="16838"/>
      <w:pgMar w:top="141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089A" w14:textId="77777777" w:rsidR="00B16FA2" w:rsidRDefault="00B16FA2">
      <w:r>
        <w:separator/>
      </w:r>
    </w:p>
  </w:endnote>
  <w:endnote w:type="continuationSeparator" w:id="0">
    <w:p w14:paraId="2059BFAA" w14:textId="77777777" w:rsidR="00B16FA2" w:rsidRDefault="00B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BAC5" w14:textId="77777777" w:rsidR="003D094D" w:rsidRDefault="00000000">
    <w:pPr>
      <w:pBdr>
        <w:top w:val="single" w:sz="6" w:space="4" w:color="1E7A34"/>
      </w:pBdr>
      <w:tabs>
        <w:tab w:val="right" w:pos="9026"/>
      </w:tabs>
      <w:spacing w:before="60"/>
    </w:pPr>
    <w:r>
      <w:rPr>
        <w:rFonts w:ascii="Corbel" w:eastAsia="Corbel" w:hAnsi="Corbel" w:cs="Corbel"/>
        <w:color w:val="6F6F6F"/>
        <w:sz w:val="16"/>
        <w:szCs w:val="16"/>
      </w:rPr>
      <w:t>MFKA · KKV-alstratégia (tervezet)</w:t>
    </w:r>
    <w:r>
      <w:rPr>
        <w:rFonts w:ascii="Corbel" w:eastAsia="Corbel" w:hAnsi="Corbel" w:cs="Corbel"/>
        <w:color w:val="6F6F6F"/>
        <w:sz w:val="16"/>
        <w:szCs w:val="16"/>
      </w:rPr>
      <w:tab/>
      <w:t xml:space="preserve">Oldal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PAGE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3506AD">
      <w:rPr>
        <w:rFonts w:ascii="Corbel" w:eastAsia="Corbel" w:hAnsi="Corbel" w:cs="Corbel"/>
        <w:noProof/>
        <w:color w:val="6F6F6F"/>
        <w:sz w:val="16"/>
        <w:szCs w:val="16"/>
      </w:rPr>
      <w:t>2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  <w:r>
      <w:rPr>
        <w:rFonts w:ascii="Corbel" w:eastAsia="Corbel" w:hAnsi="Corbel" w:cs="Corbel"/>
        <w:color w:val="6F6F6F"/>
        <w:sz w:val="16"/>
        <w:szCs w:val="16"/>
      </w:rPr>
      <w:t xml:space="preserve"> /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NUMPAGES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3506AD">
      <w:rPr>
        <w:rFonts w:ascii="Corbel" w:eastAsia="Corbel" w:hAnsi="Corbel" w:cs="Corbel"/>
        <w:noProof/>
        <w:color w:val="6F6F6F"/>
        <w:sz w:val="16"/>
        <w:szCs w:val="16"/>
      </w:rPr>
      <w:t>3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4740" w14:textId="77777777" w:rsidR="00B16FA2" w:rsidRDefault="00B16FA2">
      <w:r>
        <w:separator/>
      </w:r>
    </w:p>
  </w:footnote>
  <w:footnote w:type="continuationSeparator" w:id="0">
    <w:p w14:paraId="533BF629" w14:textId="77777777" w:rsidR="00B16FA2" w:rsidRDefault="00B1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C173" w14:textId="77777777" w:rsidR="003D094D" w:rsidRDefault="00000000">
    <w:pPr>
      <w:pBdr>
        <w:bottom w:val="single" w:sz="6" w:space="4" w:color="1E7A34"/>
      </w:pBdr>
      <w:tabs>
        <w:tab w:val="right" w:pos="9026"/>
      </w:tabs>
      <w:spacing w:after="60"/>
    </w:pPr>
    <w:r>
      <w:rPr>
        <w:rFonts w:ascii="Corbel" w:eastAsia="Corbel" w:hAnsi="Corbel" w:cs="Corbel"/>
        <w:color w:val="404040"/>
        <w:sz w:val="16"/>
        <w:szCs w:val="16"/>
      </w:rPr>
      <w:t>MFKA</w:t>
    </w:r>
    <w:r>
      <w:rPr>
        <w:rFonts w:ascii="Corbel" w:eastAsia="Corbel" w:hAnsi="Corbel" w:cs="Corbel"/>
        <w:color w:val="404040"/>
        <w:sz w:val="16"/>
        <w:szCs w:val="16"/>
      </w:rPr>
      <w:tab/>
      <w:t>KKV-alstratégia 2026–2036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693B"/>
    <w:multiLevelType w:val="hybridMultilevel"/>
    <w:tmpl w:val="80082E78"/>
    <w:lvl w:ilvl="0" w:tplc="3DD69556">
      <w:start w:val="1"/>
      <w:numFmt w:val="bullet"/>
      <w:lvlText w:val="●"/>
      <w:lvlJc w:val="left"/>
      <w:pPr>
        <w:ind w:left="720" w:hanging="360"/>
      </w:pPr>
    </w:lvl>
    <w:lvl w:ilvl="1" w:tplc="71646F68">
      <w:start w:val="1"/>
      <w:numFmt w:val="bullet"/>
      <w:lvlText w:val="○"/>
      <w:lvlJc w:val="left"/>
      <w:pPr>
        <w:ind w:left="1440" w:hanging="360"/>
      </w:pPr>
    </w:lvl>
    <w:lvl w:ilvl="2" w:tplc="5252A948">
      <w:start w:val="1"/>
      <w:numFmt w:val="bullet"/>
      <w:lvlText w:val="■"/>
      <w:lvlJc w:val="left"/>
      <w:pPr>
        <w:ind w:left="2160" w:hanging="360"/>
      </w:pPr>
    </w:lvl>
    <w:lvl w:ilvl="3" w:tplc="9FDADF20">
      <w:start w:val="1"/>
      <w:numFmt w:val="bullet"/>
      <w:lvlText w:val="●"/>
      <w:lvlJc w:val="left"/>
      <w:pPr>
        <w:ind w:left="2880" w:hanging="360"/>
      </w:pPr>
    </w:lvl>
    <w:lvl w:ilvl="4" w:tplc="6A56F7F6">
      <w:start w:val="1"/>
      <w:numFmt w:val="bullet"/>
      <w:lvlText w:val="○"/>
      <w:lvlJc w:val="left"/>
      <w:pPr>
        <w:ind w:left="3600" w:hanging="360"/>
      </w:pPr>
    </w:lvl>
    <w:lvl w:ilvl="5" w:tplc="1A00CDA0">
      <w:start w:val="1"/>
      <w:numFmt w:val="bullet"/>
      <w:lvlText w:val="■"/>
      <w:lvlJc w:val="left"/>
      <w:pPr>
        <w:ind w:left="4320" w:hanging="360"/>
      </w:pPr>
    </w:lvl>
    <w:lvl w:ilvl="6" w:tplc="2D405B16">
      <w:start w:val="1"/>
      <w:numFmt w:val="bullet"/>
      <w:lvlText w:val="●"/>
      <w:lvlJc w:val="left"/>
      <w:pPr>
        <w:ind w:left="5040" w:hanging="360"/>
      </w:pPr>
    </w:lvl>
    <w:lvl w:ilvl="7" w:tplc="B420BA98">
      <w:start w:val="1"/>
      <w:numFmt w:val="bullet"/>
      <w:lvlText w:val="●"/>
      <w:lvlJc w:val="left"/>
      <w:pPr>
        <w:ind w:left="5760" w:hanging="360"/>
      </w:pPr>
    </w:lvl>
    <w:lvl w:ilvl="8" w:tplc="12F0EA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AA0F85"/>
    <w:multiLevelType w:val="hybridMultilevel"/>
    <w:tmpl w:val="373AFA00"/>
    <w:lvl w:ilvl="0" w:tplc="6554B59C">
      <w:start w:val="1"/>
      <w:numFmt w:val="bullet"/>
      <w:lvlText w:val="•"/>
      <w:lvlJc w:val="left"/>
      <w:pPr>
        <w:ind w:left="540" w:hanging="280"/>
      </w:pPr>
      <w:rPr>
        <w:color w:val="1E7A34"/>
      </w:rPr>
    </w:lvl>
    <w:lvl w:ilvl="1" w:tplc="B20AC91E">
      <w:numFmt w:val="decimal"/>
      <w:lvlText w:val=""/>
      <w:lvlJc w:val="left"/>
    </w:lvl>
    <w:lvl w:ilvl="2" w:tplc="3DBEFA84">
      <w:numFmt w:val="decimal"/>
      <w:lvlText w:val=""/>
      <w:lvlJc w:val="left"/>
    </w:lvl>
    <w:lvl w:ilvl="3" w:tplc="56B280DC">
      <w:numFmt w:val="decimal"/>
      <w:lvlText w:val=""/>
      <w:lvlJc w:val="left"/>
    </w:lvl>
    <w:lvl w:ilvl="4" w:tplc="E95ACD9C">
      <w:numFmt w:val="decimal"/>
      <w:lvlText w:val=""/>
      <w:lvlJc w:val="left"/>
    </w:lvl>
    <w:lvl w:ilvl="5" w:tplc="799256D8">
      <w:numFmt w:val="decimal"/>
      <w:lvlText w:val=""/>
      <w:lvlJc w:val="left"/>
    </w:lvl>
    <w:lvl w:ilvl="6" w:tplc="0C66EC02">
      <w:numFmt w:val="decimal"/>
      <w:lvlText w:val=""/>
      <w:lvlJc w:val="left"/>
    </w:lvl>
    <w:lvl w:ilvl="7" w:tplc="AB7C292E">
      <w:numFmt w:val="decimal"/>
      <w:lvlText w:val=""/>
      <w:lvlJc w:val="left"/>
    </w:lvl>
    <w:lvl w:ilvl="8" w:tplc="3D5C8098">
      <w:numFmt w:val="decimal"/>
      <w:lvlText w:val=""/>
      <w:lvlJc w:val="left"/>
    </w:lvl>
  </w:abstractNum>
  <w:num w:numId="1" w16cid:durableId="1962764778">
    <w:abstractNumId w:val="0"/>
    <w:lvlOverride w:ilvl="0">
      <w:startOverride w:val="1"/>
    </w:lvlOverride>
  </w:num>
  <w:num w:numId="2" w16cid:durableId="15831818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3506AD"/>
    <w:rsid w:val="003D094D"/>
    <w:rsid w:val="00A265D4"/>
    <w:rsid w:val="00B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69CA"/>
  <w15:docId w15:val="{56987DFC-9AF7-4273-A0D8-12CBCBA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B2B2B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00" w:after="140"/>
      <w:outlineLvl w:val="0"/>
    </w:pPr>
    <w:rPr>
      <w:rFonts w:ascii="Corbel" w:eastAsia="Corbel" w:hAnsi="Corbel" w:cs="Corbel"/>
      <w:b/>
      <w:bCs/>
      <w:color w:val="1E7A34"/>
      <w:sz w:val="29"/>
      <w:szCs w:val="29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3506A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1772</Words>
  <Characters>12229</Characters>
  <Application>Microsoft Office Word</Application>
  <DocSecurity>0</DocSecurity>
  <Lines>101</Lines>
  <Paragraphs>27</Paragraphs>
  <ScaleCrop>false</ScaleCrop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KKV-alstratégia 2026–2036</dc:title>
  <dc:creator>MAGYAR FENNTARTHATÓSÁGI KÖZPONT Alapítvány</dc:creator>
  <cp:lastModifiedBy>Tibor</cp:lastModifiedBy>
  <cp:revision>3</cp:revision>
  <dcterms:created xsi:type="dcterms:W3CDTF">2026-06-06T20:52:00Z</dcterms:created>
  <dcterms:modified xsi:type="dcterms:W3CDTF">2026-06-06T21:27:00Z</dcterms:modified>
</cp:coreProperties>
</file>