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t xml:space="preserve"/>
      </w:r>
    </w:p>
    <w:tbl>
      <w:tblPr>
        <w:tblW w:type="dxa" w:w="9752"/>
        <w:tblBorders>
          <w:top w:val="single" w:color="1E7A34" w:sz="2"/>
          <w:left w:val="single" w:color="1E7A34" w:sz="2"/>
          <w:bottom w:val="single" w:color="1E7A34" w:sz="2"/>
          <w:right w:val="single" w:color="1E7A34" w:sz="2"/>
          <w:insideH w:val="single" w:color="auto" w:sz="4"/>
          <w:insideV w:val="single" w:color="auto" w:sz="4"/>
        </w:tblBorders>
      </w:tblPr>
      <w:tblGrid>
        <w:gridCol w:w="9752"/>
      </w:tblGrid>
      <w:tr>
        <w:tc>
          <w:tcPr>
            <w:tcW w:type="dxa" w:w="9752"/>
            <w:tcBorders>
              <w:top w:val="single" w:color="1E7A34" w:sz="2"/>
              <w:left w:val="single" w:color="1E7A34" w:sz="2"/>
              <w:bottom w:val="single" w:color="1E7A34" w:sz="2"/>
              <w:right w:val="single" w:color="1E7A34" w:sz="2"/>
            </w:tcBorders>
            <w:shd w:fill="1E7A34" w:val="clear"/>
            <w:tcMar>
              <w:top w:type="dxa" w:w="320"/>
              <w:left w:type="dxa" w:w="300"/>
              <w:bottom w:type="dxa" w:w="320"/>
              <w:right w:type="dxa" w:w="300"/>
            </w:tcMar>
          </w:tcPr>
          <w:p>
            <w:pPr>
              <w:spacing w:after="100"/>
            </w:pPr>
            <w:r>
              <w:rPr>
                <w:rFonts w:ascii="Corbel" w:cs="Corbel" w:eastAsia="Corbel" w:hAnsi="Corbel"/>
                <w:b/>
                <w:bCs/>
                <w:color w:val="FFFFFF"/>
                <w:sz w:val="18"/>
                <w:szCs w:val="18"/>
              </w:rPr>
              <w:t xml:space="preserve">M E G A L A P O Z Ó   D O K U M E N T U M</w:t>
            </w:r>
          </w:p>
          <w:p>
            <w:r>
              <w:rPr>
                <w:rFonts w:ascii="Corbel" w:cs="Corbel" w:eastAsia="Corbel" w:hAnsi="Corbel"/>
                <w:b/>
                <w:bCs/>
                <w:color w:val="FFFFFF"/>
                <w:sz w:val="42"/>
                <w:szCs w:val="42"/>
              </w:rPr>
              <w:t xml:space="preserve">Célok, alapelvek és módszertan</w:t>
            </w:r>
          </w:p>
        </w:tc>
      </w:tr>
    </w:tbl>
    <w:p>
      <w:pPr>
        <w:spacing w:after="260"/>
      </w:pPr>
      <w:r>
        <w:t xml:space="preserve"/>
      </w:r>
    </w:p>
    <w:p>
      <w:pPr>
        <w:spacing w:after="120" w:line="300"/>
      </w:pPr>
      <w:r>
        <w:rPr>
          <w:rFonts w:ascii="Corbel" w:cs="Corbel" w:eastAsia="Corbel" w:hAnsi="Corbel"/>
          <w:color w:val="404040"/>
          <w:sz w:val="30"/>
          <w:szCs w:val="30"/>
        </w:rPr>
        <w:t xml:space="preserve">A magyar gazdaság- és versenyképesség-fejlesztő stratégia és a kapcsolódó operatív intézkedési terv szakmai megalapozása</w:t>
      </w:r>
    </w:p>
    <w:p>
      <w:pPr>
        <w:spacing w:after="320"/>
      </w:pPr>
      <w:r>
        <w:rPr>
          <w:rFonts w:ascii="Calibri" w:cs="Calibri" w:eastAsia="Calibri" w:hAnsi="Calibri"/>
          <w:i/>
          <w:iCs/>
          <w:color w:val="C7A14A"/>
          <w:sz w:val="22"/>
          <w:szCs w:val="22"/>
        </w:rPr>
        <w:t xml:space="preserve">Időhorizont: 2026–2036  ·  középtávú fordulópont: 2031  ·  célállapot: 2036</w:t>
      </w:r>
    </w:p>
    <w:p>
      <w:pPr>
        <w:spacing w:after="40"/>
      </w:pPr>
      <w:r>
        <w:rPr>
          <w:rFonts w:ascii="Corbel" w:cs="Corbel" w:eastAsia="Corbel" w:hAnsi="Corbel"/>
          <w:b/>
          <w:bCs/>
          <w:color w:val="1E7A34"/>
          <w:sz w:val="26"/>
          <w:szCs w:val="26"/>
        </w:rPr>
        <w:t xml:space="preserve">MAGYAR FENNTARTHATÓSÁGI KÖZPONT Alapítvány — MFKA</w:t>
      </w:r>
    </w:p>
    <w:p>
      <w:pPr>
        <w:spacing w:after="360"/>
      </w:pPr>
      <w:r>
        <w:rPr>
          <w:rFonts w:ascii="Calibri" w:cs="Calibri" w:eastAsia="Calibri" w:hAnsi="Calibri"/>
          <w:i/>
          <w:iCs/>
          <w:color w:val="6F6F6F"/>
          <w:sz w:val="22"/>
          <w:szCs w:val="22"/>
        </w:rPr>
        <w:t xml:space="preserve">Gazdaság- és versenyképesség-fejlesztési szakmai műhely</w:t>
      </w:r>
    </w:p>
    <w:tbl>
      <w:tblPr>
        <w:tblW w:type="dxa" w:w="975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152"/>
      </w:tblGrid>
      <w:tr>
        <w:tc>
          <w:tcPr>
            <w:tcW w:type="dxa" w:w="26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1E7A34"/>
                <w:sz w:val="20"/>
                <w:szCs w:val="20"/>
              </w:rPr>
              <w:t xml:space="preserve">Verzió</w:t>
            </w:r>
          </w:p>
        </w:tc>
        <w:tc>
          <w:tcPr>
            <w:tcW w:type="dxa" w:w="715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26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1E7A34"/>
                <w:sz w:val="20"/>
                <w:szCs w:val="20"/>
              </w:rPr>
              <w:t xml:space="preserve">Dátum</w:t>
            </w:r>
          </w:p>
        </w:tc>
        <w:tc>
          <w:tcPr>
            <w:tcW w:type="dxa" w:w="715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20"/>
                <w:szCs w:val="20"/>
              </w:rPr>
              <w:t xml:space="preserve">2026. június</w:t>
            </w:r>
          </w:p>
        </w:tc>
      </w:tr>
      <w:tr>
        <w:tc>
          <w:tcPr>
            <w:tcW w:type="dxa" w:w="26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1E7A34"/>
                <w:sz w:val="20"/>
                <w:szCs w:val="20"/>
              </w:rPr>
              <w:t xml:space="preserve">Státusz</w:t>
            </w:r>
          </w:p>
        </w:tc>
        <w:tc>
          <w:tcPr>
            <w:tcW w:type="dxa" w:w="715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20"/>
                <w:szCs w:val="20"/>
              </w:rPr>
              <w:t xml:space="preserve">Véglegesített</w:t>
            </w:r>
          </w:p>
        </w:tc>
      </w:tr>
      <w:tr>
        <w:tc>
          <w:tcPr>
            <w:tcW w:type="dxa" w:w="26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1E7A34"/>
                <w:sz w:val="20"/>
                <w:szCs w:val="20"/>
              </w:rPr>
              <w:t xml:space="preserve">Minősítés</w:t>
            </w:r>
          </w:p>
        </w:tc>
        <w:tc>
          <w:tcPr>
            <w:tcW w:type="dxa" w:w="715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20"/>
                <w:szCs w:val="20"/>
              </w:rPr>
              <w:t xml:space="preserve">Nyilvános — publikálásra szánt</w:t>
            </w:r>
          </w:p>
        </w:tc>
      </w:tr>
      <w:tr>
        <w:tc>
          <w:tcPr>
            <w:tcW w:type="dxa" w:w="26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1E7A34"/>
                <w:sz w:val="20"/>
                <w:szCs w:val="20"/>
              </w:rPr>
              <w:t xml:space="preserve">Felelős</w:t>
            </w:r>
          </w:p>
        </w:tc>
        <w:tc>
          <w:tcPr>
            <w:tcW w:type="dxa" w:w="715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20"/>
                <w:szCs w:val="20"/>
              </w:rPr>
              <w:t xml:space="preserve">Szekfü Tibor főigazgató · Vonnák Péter ügyvezető igazgató</w:t>
            </w:r>
          </w:p>
        </w:tc>
      </w:tr>
      <w:tr>
        <w:tc>
          <w:tcPr>
            <w:tcW w:type="dxa" w:w="26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1E7A34"/>
                <w:sz w:val="20"/>
                <w:szCs w:val="20"/>
              </w:rPr>
              <w:t xml:space="preserve">Dokumentumgazda</w:t>
            </w:r>
          </w:p>
        </w:tc>
        <w:tc>
          <w:tcPr>
            <w:tcW w:type="dxa" w:w="7152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20"/>
                <w:szCs w:val="20"/>
              </w:rPr>
              <w:t xml:space="preserve">MAGYAR FENNTARTHATÓSÁGI KÖZPONT Alapítvány (MFKA)</w:t>
            </w:r>
          </w:p>
        </w:tc>
      </w:tr>
    </w:tbl>
    <w:p>
      <w:pPr>
        <w:sectPr>
          <w:pgSz w:w="11906" w:h="16838" w:orient="portrait"/>
          <w:pgMar w:top="1417" w:right="1077" w:bottom="1077" w:left="1077" w:header="708" w:footer="708" w:gutter="0"/>
          <w:pgNumType/>
          <w:docGrid w:linePitch="360"/>
        </w:sectPr>
      </w:pPr>
    </w:p>
    <w:p>
      <w:pPr>
        <w:spacing w:after="160"/>
      </w:pPr>
      <w:r>
        <w:rPr>
          <w:rFonts w:ascii="Corbel" w:cs="Corbel" w:eastAsia="Corbel" w:hAnsi="Corbel"/>
          <w:b/>
          <w:bCs/>
          <w:color w:val="1E7A34"/>
          <w:sz w:val="32"/>
          <w:szCs w:val="32"/>
        </w:rPr>
        <w:t xml:space="preserve">Tartalomjegyzék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6F6F6F"/>
          <w:sz w:val="18"/>
          <w:szCs w:val="18"/>
        </w:rPr>
        <w:t xml:space="preserve">A frissítéshez: jobb klikk a jegyzékre › „Mező frissítése”.</w:t>
      </w:r>
    </w:p>
    <w:sdt>
      <w:sdtPr>
        <w:alias w:val="Tartalom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A dokumentum célja és státusza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Ez a dokumentum azokat a célokat, alapvetéseket és módszertani elveket foglalja össze, amelyek mentén a magyar gazdaság- és versenyképesség-fejlesztő stratégia, valamint a hozzá kapcsolódó operatív intézkedési terv kidolgozása zajlik. Célja, hogy a szakmai és döntéshozói közönség még a végleges anyag elkészülte előtt átláthassa, milyen szemléleti és módszertani alapokon nyugszik a munka.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dokumentum nem maga a stratégia, hanem annak megalapozása: a gondolkodási keretet, az alapelveket és a munkamódszert rögzíti. A részletes helyzetértékelés, a számszerű célhierarchia és az egyes beavatkozási területek kidolgozott tartalma a stratégiai dokumentumban és annak mellékleteiben kap helyet.</w:t>
      </w:r>
    </w:p>
    <w:p>
      <w:pPr>
        <w:spacing w:after="6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Címzettjei egyrészt az illetékes kormányzati döntéshozók, másrészt a tágabb szakmai nyilvánosság. Közzétételének célja az átláthatóság: a stratégia akkor lehet hiteles és követhető, ha nyilvánvaló, milyen elvek és módszerek vezérlik.</w:t>
      </w:r>
    </w:p>
    <w:p>
      <w:pPr>
        <w:pStyle w:val="Heading1"/>
      </w:pPr>
      <w:r>
        <w:t xml:space="preserve">2. A stratégiaalkotás céljai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munka célja egy átfogó, innovatív és végrehajtható nemzeti gazdaság- és versenyképesség-fejlesztő stratégia kidolgozása, amelyben a kis- és középvállalkozói (KKV-) szektor nem különálló terület, hanem a nemzeti stratégia operatív gerince.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 célhierarchiája világos és egymásra épül:</w:t>
      </w:r>
    </w:p>
    <w:tbl>
      <w:tblPr>
        <w:tblW w:type="dxa" w:w="9752"/>
        <w:tblBorders>
          <w:top w:val="single" w:color="E3EFE5" w:sz="2"/>
          <w:left w:val="single" w:color="C7A14A" w:sz="26"/>
          <w:bottom w:val="single" w:color="E3EFE5" w:sz="2"/>
          <w:right w:val="single" w:color="E3EFE5" w:sz="2"/>
          <w:insideH w:val="single" w:color="auto" w:sz="4"/>
          <w:insideV w:val="single" w:color="auto" w:sz="4"/>
        </w:tblBorders>
      </w:tblPr>
      <w:tblGrid>
        <w:gridCol w:w="9752"/>
      </w:tblGrid>
      <w:tr>
        <w:tc>
          <w:tcPr>
            <w:tcW w:type="dxa" w:w="9752"/>
            <w:shd w:fill="F2F8F3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line="270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22"/>
                <w:szCs w:val="22"/>
              </w:rPr>
              <w:t xml:space="preserve">A célhierarchia. </w:t>
            </w:r>
            <w:r>
              <w:rPr>
                <w:rFonts w:ascii="Calibri" w:cs="Calibri" w:eastAsia="Calibri" w:hAnsi="Calibri"/>
                <w:color w:val="2B2B2B"/>
                <w:sz w:val="22"/>
                <w:szCs w:val="22"/>
              </w:rPr>
              <w:t xml:space="preserve">A versenyképesség az elsődleges gazdasági cél; a válságállóság ennek rendszerjellemzője; az életképesség a vállalkozási bázis minősége és túlélőképessége; az elégedettség és a boldogság pedig a végső társadalmi kimenet — nem a napi gazdaságpolitika közvetlen operatív célja, hanem az, amiért az egész működik.</w:t>
            </w:r>
          </w:p>
        </w:tc>
      </w:tr>
    </w:tbl>
    <w:p>
      <w:pPr>
        <w:spacing w:after="140" w:before="140" w:line="276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Alkalmazkodóképesség.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válságállóságnak két arca van: a sokkok kivédése (robusztusság) és a változásokhoz való gyors alkalmazkodás. Egy tartósan változó környezetben az alkalmazkodás sebessége — kiemelten a társadalom és a munkaerő részéről — önálló versenytényező; ezért az alkalmazkodóképesség nem külön pillér, hanem átívelő képesség, amely a tudás- és készségpilléren, a technológiai diffúzión és a „tanuló rendszer” elvén keresztül él.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Mind a négy szintet folyamatosan mérjük: a versenyképességet és az életképességet gazdasági mutatókkal, az elégedettséget és a boldogságot jóllét-indikátorokkal — így a végső társadalmi kimenet is szemmel tartható, nem csak a gazdasági teljesítmény.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 emellett az alábbi minőségi követelményeknek felel meg: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Kétszintű időhorizont.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Világos célállapot 2036-ra (tízéves táv) és igazolható fordulópont 2031-re (ötéves köztes állapot), egyértelmű köztes mérföldkövekkel.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Közérthetőség és követhetőség.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döntéshozó számára olvasható, áttekinthető anyag, nem terjengős akadémiai szöveg.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Realizmus.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magyar gazdasági és költségvetési helyzettel számoló, reális célkitűzések — nem kívánságlista.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Cselekvésorientáltság.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Nem programok halmaza, hanem világos cél-, eszköz- és intézményi logikára épülő, végrehajtható keret.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Időtállóság.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 a körülmények változásának irányára épül, ezért az átmeneti konjunkturális ingadozásoktól függetlenül is iránymutató marad.</w:t>
      </w:r>
    </w:p>
    <w:p>
      <w:pPr>
        <w:pStyle w:val="Heading1"/>
      </w:pPr>
      <w:r>
        <w:t xml:space="preserve">3. Kiindulópont: a szűkülő mozgástér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 nem statikus pillanatképből, hanem a körülmények változásának irányából indul ki. A következő évtizedben a magyar gazdaság — és különösen a KKV-szektor — négy, egymást erősítő szűkítő erővel néz szembe: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kritikus nyersanyagok és alapanyagok növekvő szűkössége és áremelkedése;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strukturálisan magas európai energiaárak és az energiabiztonsági kitettség;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Kárpát-medence éghajlati és vízgazdálkodási válsága (aszály, vízhiány);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globális ellátási láncok geopolitikai újrarendeződése.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Ezek nem egymástól független, ciklikus zavarok, hanem egy tartós, egymást felerősítő állapot tünetei. A stratégia ezért az erőforrás-korlátokat nem mellékszálként, hanem tervezési alapfeltételként kezeli.</w:t>
      </w:r>
    </w:p>
    <w:tbl>
      <w:tblPr>
        <w:tblW w:type="dxa" w:w="9752"/>
        <w:tblBorders>
          <w:top w:val="single" w:color="E3EFE5" w:sz="2"/>
          <w:left w:val="single" w:color="C7A14A" w:sz="26"/>
          <w:bottom w:val="single" w:color="E3EFE5" w:sz="2"/>
          <w:right w:val="single" w:color="E3EFE5" w:sz="2"/>
          <w:insideH w:val="single" w:color="auto" w:sz="4"/>
          <w:insideV w:val="single" w:color="auto" w:sz="4"/>
        </w:tblBorders>
      </w:tblPr>
      <w:tblGrid>
        <w:gridCol w:w="9752"/>
      </w:tblGrid>
      <w:tr>
        <w:tc>
          <w:tcPr>
            <w:tcW w:type="dxa" w:w="9752"/>
            <w:shd w:fill="F2F8F3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line="270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22"/>
                <w:szCs w:val="22"/>
              </w:rPr>
              <w:t xml:space="preserve">Fenntartható mértékletesség. </w:t>
            </w:r>
            <w:r>
              <w:rPr>
                <w:rFonts w:ascii="Calibri" w:cs="Calibri" w:eastAsia="Calibri" w:hAnsi="Calibri"/>
                <w:color w:val="2B2B2B"/>
                <w:sz w:val="22"/>
                <w:szCs w:val="22"/>
              </w:rPr>
              <w:t xml:space="preserve">A stratégia vezérgondolata nem a korlátlan mennyiségi növekedés ígérete, hanem a kevesebb erőforrással elért nagyobb értékteremtés. Ez egyszerre alkalmazkodás a szűkülő mozgástérhez és versenyképességi előny.</w:t>
            </w:r>
          </w:p>
        </w:tc>
      </w:tr>
    </w:tbl>
    <w:p>
      <w:pPr>
        <w:pStyle w:val="Heading1"/>
      </w:pPr>
      <w:r>
        <w:t xml:space="preserve">4. Alapvetések és vezérelvek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stratégiát és az operatív intézkedési tervet a következő alapelvek mentén építjük fel. A teljes szerkezet gerince egyetlen, következetesen alkalmazott gondolati lánc:</w:t>
      </w:r>
    </w:p>
    <w:tbl>
      <w:tblPr>
        <w:tblW w:type="dxa" w:w="9752"/>
        <w:tblBorders>
          <w:top w:val="single" w:color="E3EFE5" w:sz="2"/>
          <w:left w:val="single" w:color="C7A14A" w:sz="26"/>
          <w:bottom w:val="single" w:color="E3EFE5" w:sz="2"/>
          <w:right w:val="single" w:color="E3EFE5" w:sz="2"/>
          <w:insideH w:val="single" w:color="auto" w:sz="4"/>
          <w:insideV w:val="single" w:color="auto" w:sz="4"/>
        </w:tblBorders>
      </w:tblPr>
      <w:tblGrid>
        <w:gridCol w:w="9752"/>
      </w:tblGrid>
      <w:tr>
        <w:tc>
          <w:tcPr>
            <w:tcW w:type="dxa" w:w="9752"/>
            <w:shd w:fill="F2F8F3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line="270"/>
            </w:pPr>
            <w:r>
              <w:rPr>
                <w:rFonts w:ascii="Calibri" w:cs="Calibri" w:eastAsia="Calibri" w:hAnsi="Calibri"/>
                <w:b/>
                <w:bCs/>
                <w:color w:val="1E7A34"/>
                <w:sz w:val="22"/>
                <w:szCs w:val="22"/>
              </w:rPr>
              <w:t xml:space="preserve">Cél – eszköz – intézmény. </w:t>
            </w:r>
            <w:r>
              <w:rPr>
                <w:rFonts w:ascii="Calibri" w:cs="Calibri" w:eastAsia="Calibri" w:hAnsi="Calibri"/>
                <w:color w:val="2B2B2B"/>
                <w:sz w:val="22"/>
                <w:szCs w:val="22"/>
              </w:rPr>
              <w:t xml:space="preserve">Minden beavatkozásnál előbb a célt határozzuk meg (milyen társadalmi vagy gazdasági szükségletet szolgálunk), azután az eszközt (mindig integrált eszközcsomag, nem egyetlen elszigetelt megoldás), végül az intézményt (a célhoz illeszkedő, küldetés-koherens szervezeti forma). Az eszközt mindig a cél határozza meg — nem fordítva.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Célhierarchia, nem eszközlista.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 célállapotokat és képességcélokat határoz meg, nem programok felsorolását; a végcélokat és az azokat lehetővé tevő képességcélokat tudatosan elkülönítjük.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MECE-szerkezet.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stratégiai pillérek nem fedik át egymást, de együttesen lefedik a teljes problémakört.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Kvantifikálhatóság.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Minden célhoz mérőszámok (KPI-k) és mérföldkövek tartoznak; a stratégia előrehaladása mérhető és számon kérhető.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Realizmus a finanszírozásban.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 számol a tényleges költségvetési mozgástérrel, és a szabályozási egyszerűsítést, a célzott ösztönzőket, a garanciákat, a vegyes (blended) finanszírozást, a keresletoldali közbeszerzést és az uniós források célhoz kötött felhasználását kombinálja.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A KKV mint operatív gerinc, az AI mint horizontális gyorsító.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KKV-szektor a nemzeti stratégia végrehajtási gerince; a mesterséges intelligencia nem önálló „AI-iparág”, hanem a termelékenységet minden ágazatban emelő horizontális platform.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Erőforrás-tudatos fenntarthatóság.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 az energia-, anyag- és vízfelhasználást is mérlegeli; vezérelve a kevesebb erőforrással elért nagyobb értékteremtés.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A normatív eszközök előtérbe helyezése.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Ahol lehetséges, a pályázati, diszkrecionális támogatás helyett az átlátható, szabályalapú, normatív eszközök felé mozdulunk. Ez egyszerre javítja a versenyképességet és illeszkedik az átláthatósági és antikorrupciós elvárásokhoz.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Együttműködés a verseny helyett.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Az intézményrendszeren belül az együttműködés, nem a párhuzamos verseny az alapelv.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Nemzetközi kapcsolatok és a jó gyakorlatok intézményesített átvétele.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 folyamatos nemzetközi összevetésre (benchmarkingra) és a bevált megoldások rendszeresített átvételére épül.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EU-konform és EU-alakító, evidenciaalapú megközelítés.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 illeszkedik az európai versenyképességi kerethez, és a meglévő hazai értékekre épít; ugyanakkor — mivel Magyarország is az Unió társalkotója — konstruktív, evidenciaalapú visszajelzéssel részt vesz az uniós szabályozás alakításában is, különösen ott, ahol a megvalósíthatóság vagy a versenyképesség ezt indokolja. Minden jelentős beavatkozást evidenciaalapon, mérhető hatásvizsgálattal alapoz meg.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Küldetés-koherens intézmények.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Az intézményi forma a célt követi: a társadalmi célú feladatokat közhasznú, nonprofit szakmai szervezetek, a skálázható finanszírozási feladatokat fejlesztési-pénzügyi intézmények látják el.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Tanuló rendszer.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 rendszeres felülvizsgálaton megy keresztül, és a tapasztalatok alapján korrigálható; nem statikus dokumentum, hanem önmagát javító rendszer.</w:t>
      </w:r>
    </w:p>
    <w:p>
      <w:pPr>
        <w:pStyle w:val="Heading1"/>
      </w:pPr>
      <w:r>
        <w:t xml:space="preserve">5. Módszertan</w:t>
      </w:r>
    </w:p>
    <w:p>
      <w:pPr>
        <w:spacing w:after="8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 kidolgozása az alábbi módszertani elveket követi.</w:t>
      </w:r>
    </w:p>
    <w:p>
      <w:pPr>
        <w:spacing w:after="100" w:before="6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Kétszintű dokumentumarchitektúra.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munka két, egymásra épülő, de eltérő természetű dokumentumból áll:</w:t>
      </w:r>
    </w:p>
    <w:tbl>
      <w:tblPr>
        <w:tblW w:type="dxa" w:w="975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776"/>
        <w:gridCol w:w="3776"/>
      </w:tblGrid>
      <w:tr>
        <w:trPr>
          <w:tblHeader/>
        </w:trPr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3776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20"/>
                <w:szCs w:val="20"/>
              </w:rPr>
              <w:t xml:space="preserve">A Stratégia</w:t>
            </w:r>
          </w:p>
        </w:tc>
        <w:tc>
          <w:tcPr>
            <w:tcW w:type="dxa" w:w="3776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1E7A34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r>
              <w:rPr>
                <w:rFonts w:ascii="Corbel" w:cs="Corbel" w:eastAsia="Corbel" w:hAnsi="Corbel"/>
                <w:b/>
                <w:bCs/>
                <w:color w:val="FFFFFF"/>
                <w:sz w:val="20"/>
                <w:szCs w:val="20"/>
              </w:rPr>
              <w:t xml:space="preserve">Az operatív intézkedési terv</w:t>
            </w:r>
          </w:p>
        </w:tc>
      </w:tr>
      <w:tr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E7A34"/>
                <w:sz w:val="20"/>
                <w:szCs w:val="20"/>
              </w:rPr>
              <w:t xml:space="preserve">Tartalom</w:t>
            </w:r>
          </w:p>
        </w:tc>
        <w:tc>
          <w:tcPr>
            <w:tcW w:type="dxa" w:w="3776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20"/>
                <w:szCs w:val="20"/>
              </w:rPr>
              <w:t xml:space="preserve">Jövőkép, célhierarchia (2036/2031), stratégiai pillérek</w:t>
            </w:r>
          </w:p>
        </w:tc>
        <w:tc>
          <w:tcPr>
            <w:tcW w:type="dxa" w:w="3776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20"/>
                <w:szCs w:val="20"/>
              </w:rPr>
              <w:t xml:space="preserve">A stratégia mentén kijelölt konkrét célok, eszközök, intézmények, mérföldkövek, indikátorok</w:t>
            </w:r>
          </w:p>
        </w:tc>
      </w:tr>
      <w:tr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E7A34"/>
                <w:sz w:val="20"/>
                <w:szCs w:val="20"/>
              </w:rPr>
              <w:t xml:space="preserve">Jelleg</w:t>
            </w:r>
          </w:p>
        </w:tc>
        <w:tc>
          <w:tcPr>
            <w:tcW w:type="dxa" w:w="3776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20"/>
                <w:szCs w:val="20"/>
              </w:rPr>
              <w:t xml:space="preserve">Stabil, irányadó keret</w:t>
            </w:r>
          </w:p>
        </w:tc>
        <w:tc>
          <w:tcPr>
            <w:tcW w:type="dxa" w:w="3776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20"/>
                <w:szCs w:val="20"/>
              </w:rPr>
              <w:t xml:space="preserve">Konkrét és iránymutató, de nem részletes végrehajtási terv</w:t>
            </w:r>
          </w:p>
        </w:tc>
      </w:tr>
      <w:tr>
        <w:tc>
          <w:tcPr>
            <w:tcW w:type="dxa" w:w="220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EA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1E7A34"/>
                <w:sz w:val="20"/>
                <w:szCs w:val="20"/>
              </w:rPr>
              <w:t xml:space="preserve">Felülvizsgálat</w:t>
            </w:r>
          </w:p>
        </w:tc>
        <w:tc>
          <w:tcPr>
            <w:tcW w:type="dxa" w:w="3776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20"/>
                <w:szCs w:val="20"/>
              </w:rPr>
              <w:t xml:space="preserve">Ritkábban (pl. kétévente mély átnézés, ötévente korrekció)</w:t>
            </w:r>
          </w:p>
        </w:tc>
        <w:tc>
          <w:tcPr>
            <w:tcW w:type="dxa" w:w="3776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B2B2B"/>
                <w:sz w:val="20"/>
                <w:szCs w:val="20"/>
              </w:rPr>
              <w:t xml:space="preserve">Gyakrabban (pl. évente)</w:t>
            </w:r>
          </w:p>
        </w:tc>
      </w:tr>
    </w:tbl>
    <w:p>
      <w:pPr>
        <w:spacing w:after="160"/>
      </w:pPr>
      <w:r>
        <w:t xml:space="preserve"/>
      </w:r>
    </w:p>
    <w:p>
      <w:pPr>
        <w:spacing w:after="100" w:line="276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A stratégia szerkezete.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stratégiai dokumentum a következő, egymásra épülő logikát követi: mandátum és alapelvek → helyzetkép → jövőkép és célhierarchia → stratégiai pillérek → finanszírozási architektúra → intézményi és végrehajtási rend → monitoring → mellékletek. A részletek (indikátor-definíciók, projektlista, jogszabályi háttér, finanszírozási táblák) a mellékletekbe kerülnek, hogy a főszöveg olvasható maradjon.</w:t>
      </w:r>
    </w:p>
    <w:p>
      <w:pPr>
        <w:spacing w:after="100" w:line="276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Egységes pillérsablon.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Minden stratégiai pillér azonos szerkezetet követ: rövid helyzetértékelés és SWOT-elemzés; forgatókönyvek (A/B/C változat kockázati besorolással, idősávval és valószínűséggel); majd a cél–eszköz–intézmény lánc, végül a mérőszámok és mérföldkövek. Aki egy pillért elolvas, mindig ugyanazt a logikai felépítést látja.</w:t>
      </w:r>
    </w:p>
    <w:p>
      <w:pPr>
        <w:spacing w:after="100" w:line="276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Evidenciabázis.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 friss, hiteles forrásokra épül: az európai versenyképességi keretrendszerre (többek között a Draghi-jelentésre, a Versenyképességi Iránytűre, a Tiszta Ipari Megállapodásra, a kritikus nyersanyagokról szóló szabályozásra és az AI-adaptációs stratégiára), az OECD, az IMF és az Európai Bizottság elemzéseire, a hazai statisztikai és jegybanki adatokra, a nemzetközi energia- és környezeti előrejelzésekre, valamint a vonatkozó hazai akadémiai munkákra — kiemelten az erőforrás-korlátokkal foglalkozó szakirodalomra.</w:t>
      </w:r>
    </w:p>
    <w:p>
      <w:pPr>
        <w:spacing w:after="100" w:line="276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Láncolatos gondolkodás és rendszerszemlélet.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 minden ponton levezeti az összefüggést a makrogazdasági tézistől a mikroszintű (KKV-) hatásokig, és összekapcsolja a technológiát, a finanszírozást és a humánerőforrás-fejlesztést.</w:t>
      </w:r>
    </w:p>
    <w:p>
      <w:pPr>
        <w:spacing w:after="60" w:line="276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Felülvizsgálati ciklus.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stratégiát rendszeres, mérőszámokra épülő felülvizsgálat kíséri (éves eredménytábla, kétévenkénti mélyfelülvizsgálat, ötévenkénti stratégiai korrekció); az operatív intézkedési terv ennél gyakrabban frissül.</w:t>
      </w:r>
    </w:p>
    <w:p>
      <w:pPr>
        <w:pStyle w:val="Heading1"/>
      </w:pPr>
      <w:r>
        <w:t xml:space="preserve">6. A stratégia pillérei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fenti elvek mentén a stratégia hat fő pillérre és egy kiemelt területre épül. A KKV-dimenzió és az erőforrás-tudatos szemlélet mindegyiken átível.</w:t>
      </w:r>
    </w:p>
    <w:p>
      <w:pPr>
        <w:pStyle w:val="ListParagraph"/>
        <w:numPr>
          <w:ilvl w:val="0"/>
          <w:numId w:val="3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KKV-termelékenység, méretnövekedés és értéklánc-diverzifikáció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 — kiemelt fókuszban a mikro- és kisvállalkozói szegmens.</w:t>
      </w:r>
    </w:p>
    <w:p>
      <w:pPr>
        <w:pStyle w:val="ListParagraph"/>
        <w:numPr>
          <w:ilvl w:val="0"/>
          <w:numId w:val="3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Tudás, készségek és vállalkozói képességek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 — beleértve az AI-t kiegészítő készségeket és a mikrotanúsítványokat.</w:t>
      </w:r>
    </w:p>
    <w:p>
      <w:pPr>
        <w:pStyle w:val="ListParagraph"/>
        <w:numPr>
          <w:ilvl w:val="0"/>
          <w:numId w:val="3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Technológia, AI és digitális diffúzió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 — hibrid, rétegzett megközelítésben (megosztott számítási kapacitás, nemzeti tudás- és adatréteg, ágazati kis modellek és helyi végpontok).</w:t>
      </w:r>
    </w:p>
    <w:p>
      <w:pPr>
        <w:pStyle w:val="ListParagraph"/>
        <w:numPr>
          <w:ilvl w:val="0"/>
          <w:numId w:val="3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Energiafüggetlenség és erőforrás-hatékonyság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3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Víz-, agrár- és klímaadaptáció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 — a precíziós mezőgazdaságot is beleértve.</w:t>
      </w:r>
    </w:p>
    <w:p>
      <w:pPr>
        <w:pStyle w:val="ListParagraph"/>
        <w:numPr>
          <w:ilvl w:val="0"/>
          <w:numId w:val="3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Területi versenyképesség és regionális újraszervezés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.</w:t>
      </w:r>
    </w:p>
    <w:p>
      <w:pPr>
        <w:spacing w:after="120" w:before="80" w:line="270"/>
      </w:pPr>
      <w:r>
        <w:rPr>
          <w:rFonts w:ascii="Calibri" w:cs="Calibri" w:eastAsia="Calibri" w:hAnsi="Calibri"/>
          <w:b/>
          <w:bCs/>
          <w:color w:val="C7A14A"/>
          <w:sz w:val="22"/>
          <w:szCs w:val="22"/>
        </w:rPr>
        <w:t xml:space="preserve">Kiemelt terület: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Fejlett gyártás és kettős felhasználású technológiák (drónökoszisztéma).</w:t>
      </w:r>
    </w:p>
    <w:p>
      <w:pPr>
        <w:spacing w:after="6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szűkülő mozgástér (nyersanyag-, energia- és vízkorlátok, geopolitikai kitettség) nem külön pillér, hanem az egész stratégia átfogó keretezése, amely az első, a negyedik, az ötödik és a kiemelt pillért egyaránt átszövi.</w:t>
      </w:r>
    </w:p>
    <w:p>
      <w:pPr>
        <w:pStyle w:val="Heading1"/>
      </w:pPr>
      <w:r>
        <w:t xml:space="preserve">7. Az intézményi alapelv</w:t>
      </w:r>
    </w:p>
    <w:p>
      <w:pPr>
        <w:spacing w:after="14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A stratégia végrehajtásának kulcsa egy küldetés-koherens, együttműködésre épülő intézményi modell. Ennek vezérelvei: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Az intézményi forma a célt követi.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társadalmi célú, ügyfélközeli feladatokat közhasznú, nonprofit szakmai szervezetek, a skálázható, pénzügyi-mérnöki feladatokat fejlesztési-pénzügyi intézmények látják el.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„Hub &amp; spoke” (központ és küllők) működés.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Egy szakmai-szolgáltató központ biztosítja az egységes sztenderdeket, az infrastruktúrát és a megfelelést, míg az ügyfélközeli végrehajtás a hálózati partnereknél történik.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Együttműködés, nem verseny.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Az intézményrendszer szereplői kiegészítik, nem kioltják egymást.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Az állam közjavakat és szabályokat hoz létre.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Sztenderdeket, interoperabilitást, szabályozási tesztkörnyezetet (sandbox) és nyílt komponenseket biztosít; a piaci szereplők a specializációt és az „utolsó kilométert” viszik.</w:t>
      </w:r>
    </w:p>
    <w:p>
      <w:pPr>
        <w:pStyle w:val="ListParagraph"/>
        <w:numPr>
          <w:ilvl w:val="0"/>
          <w:numId w:val="2"/>
        </w:numPr>
        <w:spacing w:after="90" w:line="270"/>
      </w:pPr>
      <w:r>
        <w:rPr>
          <w:rFonts w:ascii="Calibri" w:cs="Calibri" w:eastAsia="Calibri" w:hAnsi="Calibri"/>
          <w:b/>
          <w:bCs/>
          <w:color w:val="2B2B2B"/>
          <w:sz w:val="22"/>
          <w:szCs w:val="22"/>
        </w:rPr>
        <w:t xml:space="preserve">Önálló nemzetközi és jó gyakorlat funkció. </w:t>
      </w:r>
      <w:r>
        <w:rPr>
          <w:rFonts w:ascii="Calibri" w:cs="Calibri" w:eastAsia="Calibri" w:hAnsi="Calibri"/>
          <w:color w:val="2B2B2B"/>
          <w:sz w:val="22"/>
          <w:szCs w:val="22"/>
        </w:rPr>
        <w:t xml:space="preserve">A nemzetközi kapcsolatokért és a bevált megoldások intézményesített átvételéért felelős, rendszeres beszámolási kötelezettséggel működő funkció.</w:t>
      </w:r>
    </w:p>
    <w:p>
      <w:pPr>
        <w:spacing w:after="6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E megközelítés szakmai alapját a MAGYAR FENNTARTHATÓSÁGI KÖZPONT Alapítvány (MFKA) mögött álló szakmai közösség több évtizedes, hazai és európai szinten is elismert vállalkozásfejlesztési és mikrofinanszírozási tapasztalata adja.</w:t>
      </w:r>
    </w:p>
    <w:p>
      <w:pPr>
        <w:pStyle w:val="Heading1"/>
      </w:pPr>
      <w:r>
        <w:t xml:space="preserve">8. A következő lépés</w:t>
      </w:r>
    </w:p>
    <w:p>
      <w:pPr>
        <w:spacing w:after="0" w:line="276"/>
      </w:pPr>
      <w:r>
        <w:rPr>
          <w:rFonts w:ascii="Calibri" w:cs="Calibri" w:eastAsia="Calibri" w:hAnsi="Calibri"/>
          <w:color w:val="2B2B2B"/>
          <w:sz w:val="22"/>
          <w:szCs w:val="22"/>
        </w:rPr>
        <w:t xml:space="preserve">E megalapozás véglegesítését követően a következő lépés maga a stratégia és az operatív intézkedési terv kidolgozása — a fent rögzített célok, alapelvek és módszertan mentén, az egységes pillérsablon szerint.</w:t>
      </w:r>
    </w:p>
    <w:sectPr>
      <w:headerReference w:type="default" r:id="rId7"/>
      <w:footerReference w:type="default" r:id="rId8"/>
      <w:pgSz w:w="11906" w:h="16838" w:orient="portrait"/>
      <w:pgMar w:top="1417" w:right="1077" w:bottom="1077" w:left="107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7A34" w:sz="6" w:space="4"/>
      </w:pBdr>
      <w:tabs>
        <w:tab w:val="right" w:pos="9026"/>
      </w:tabs>
      <w:spacing w:before="60"/>
    </w:pPr>
    <w:r>
      <w:rPr>
        <w:rFonts w:ascii="Corbel" w:cs="Corbel" w:eastAsia="Corbel" w:hAnsi="Corbel"/>
        <w:color w:val="6F6F6F"/>
        <w:sz w:val="16"/>
        <w:szCs w:val="16"/>
      </w:rPr>
      <w:t xml:space="preserve">MFKA · gazdaság- és versenyképesség-fejlesztő stratégia</w:t>
    </w:r>
    <w:r>
      <w:rPr>
        <w:rFonts w:ascii="Corbel" w:cs="Corbel" w:eastAsia="Corbel" w:hAnsi="Corbel"/>
        <w:color w:val="6F6F6F"/>
        <w:sz w:val="16"/>
        <w:szCs w:val="16"/>
      </w:rPr>
      <w:t xml:space="preserve">	Oldal </w:t>
    </w:r>
    <w:r>
      <w:rPr>
        <w:rFonts w:ascii="Corbel" w:cs="Corbel" w:eastAsia="Corbel" w:hAnsi="Corbel"/>
        <w:color w:val="6F6F6F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orbel" w:cs="Corbel" w:eastAsia="Corbel" w:hAnsi="Corbel"/>
        <w:color w:val="6F6F6F"/>
        <w:sz w:val="16"/>
        <w:szCs w:val="16"/>
      </w:rPr>
      <w:t xml:space="preserve"> / </w:t>
    </w:r>
    <w:r>
      <w:rPr>
        <w:rFonts w:ascii="Corbel" w:cs="Corbel" w:eastAsia="Corbel" w:hAnsi="Corbel"/>
        <w:color w:val="6F6F6F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7A34" w:sz="6" w:space="4"/>
      </w:pBdr>
      <w:tabs>
        <w:tab w:val="right" w:pos="9026"/>
      </w:tabs>
      <w:spacing w:after="60"/>
    </w:pPr>
    <w:r>
      <w:rPr>
        <w:rFonts w:ascii="Corbel" w:cs="Corbel" w:eastAsia="Corbel" w:hAnsi="Corbel"/>
        <w:color w:val="404040"/>
        <w:sz w:val="16"/>
        <w:szCs w:val="16"/>
      </w:rPr>
      <w:t xml:space="preserve">MAGYAR FENNTARTHATÓSÁGI KÖZPONT Alapítvány</w:t>
    </w:r>
    <w:r>
      <w:rPr>
        <w:rFonts w:ascii="Corbel" w:cs="Corbel" w:eastAsia="Corbel" w:hAnsi="Corbel"/>
        <w:color w:val="404040"/>
        <w:sz w:val="16"/>
        <w:szCs w:val="16"/>
      </w:rPr>
      <w:t xml:space="preserve">	Megalapozó dokumentum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  <w:rPr>
        <w:color w:val="1E7A34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20"/>
      </w:pPr>
      <w:rPr>
        <w:b/>
        <w:bCs/>
        <w:color w:val="1E7A34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B2B2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300"/>
      <w:outlineLvl w:val="0"/>
    </w:pPr>
    <w:rPr>
      <w:rFonts w:ascii="Corbel" w:cs="Corbel" w:eastAsia="Corbel" w:hAnsi="Corbel"/>
      <w:b/>
      <w:bCs/>
      <w:color w:val="1E7A3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Corbel" w:cs="Corbel" w:eastAsia="Corbel" w:hAnsi="Corbel"/>
      <w:b/>
      <w:bCs/>
      <w:color w:val="1E7A3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Corbel" w:cs="Corbel" w:eastAsia="Corbel" w:hAnsi="Corbel"/>
      <w:b/>
      <w:bCs/>
      <w:color w:val="404040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Megalapozó dokumentum — célok, alapelvek és módszertan</dc:title>
  <dc:creator>MAGYAR FENNTARTHATÓSÁGI KÖZPONT Alapítvány</dc:creator>
  <cp:lastModifiedBy>Un-named</cp:lastModifiedBy>
  <cp:revision>1</cp:revision>
  <dcterms:created xsi:type="dcterms:W3CDTF">2026-06-06T13:27:22.817Z</dcterms:created>
  <dcterms:modified xsi:type="dcterms:W3CDTF">2026-06-06T13:27:22.817Z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