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t xml:space="preserve"/>
      </w:r>
    </w:p>
    <w:tbl>
      <w:tblPr>
        <w:tblW w:type="dxa" w:w="9752"/>
        <w:tblBorders>
          <w:top w:val="single" w:color="1E7A34" w:sz="2"/>
          <w:left w:val="single" w:color="1E7A34" w:sz="2"/>
          <w:bottom w:val="single" w:color="1E7A34" w:sz="2"/>
          <w:right w:val="single" w:color="1E7A34" w:sz="2"/>
          <w:insideH w:val="single" w:color="auto" w:sz="4"/>
          <w:insideV w:val="single" w:color="auto" w:sz="4"/>
        </w:tblBorders>
      </w:tblPr>
      <w:tblGrid>
        <w:gridCol w:w="9752"/>
      </w:tblGrid>
      <w:tr>
        <w:tc>
          <w:tcPr>
            <w:tcW w:type="dxa" w:w="9752"/>
            <w:tcBorders>
              <w:top w:val="single" w:color="1E7A34" w:sz="2"/>
              <w:left w:val="single" w:color="1E7A34" w:sz="2"/>
              <w:bottom w:val="single" w:color="1E7A34" w:sz="2"/>
              <w:right w:val="single" w:color="1E7A34" w:sz="2"/>
            </w:tcBorders>
            <w:shd w:fill="1E7A34" w:val="clear"/>
            <w:tcMar>
              <w:top w:type="dxa" w:w="320"/>
              <w:left w:type="dxa" w:w="300"/>
              <w:bottom w:type="dxa" w:w="320"/>
              <w:right w:type="dxa" w:w="300"/>
            </w:tcMar>
          </w:tcPr>
          <w:p>
            <w:pPr>
              <w:spacing w:after="100"/>
            </w:pPr>
            <w:r>
              <w:rPr>
                <w:rFonts w:ascii="Corbel" w:cs="Corbel" w:eastAsia="Corbel" w:hAnsi="Corbel"/>
                <w:b/>
                <w:bCs/>
                <w:color w:val="FFFFFF"/>
                <w:sz w:val="16"/>
                <w:szCs w:val="16"/>
              </w:rPr>
              <w:t xml:space="preserve">OPERATÍV INTÉZKEDÉSI TERV · A GAZDASÁG- ÉS VERSENYKÉPESSÉG-FEJLESZTŐ STRATÉGIA VÉGREHAJTÁSA</w:t>
            </w:r>
          </w:p>
          <w:p>
            <w:r>
              <w:rPr>
                <w:rFonts w:ascii="Corbel" w:cs="Corbel" w:eastAsia="Corbel" w:hAnsi="Corbel"/>
                <w:b/>
                <w:bCs/>
                <w:color w:val="FFFFFF"/>
                <w:sz w:val="34"/>
                <w:szCs w:val="34"/>
              </w:rPr>
              <w:t xml:space="preserve">Operatív intézkedési terv</w:t>
            </w:r>
          </w:p>
        </w:tc>
      </w:tr>
    </w:tbl>
    <w:p>
      <w:pPr>
        <w:spacing w:after="260"/>
      </w:pPr>
      <w:r>
        <w:t xml:space="preserve"/>
      </w:r>
    </w:p>
    <w:p>
      <w:pPr>
        <w:spacing w:after="120" w:line="300"/>
      </w:pPr>
      <w:r>
        <w:rPr>
          <w:rFonts w:ascii="Corbel" w:cs="Corbel" w:eastAsia="Corbel" w:hAnsi="Corbel"/>
          <w:color w:val="404040"/>
          <w:sz w:val="26"/>
          <w:szCs w:val="26"/>
        </w:rPr>
        <w:t xml:space="preserve">Cél–eszköz–intézmény–mérföldkő–indikátor: a stratégia végrehajtásának gyakrabban frissülő terve</w:t>
      </w:r>
    </w:p>
    <w:p>
      <w:pPr>
        <w:spacing w:after="320"/>
      </w:pPr>
      <w:r>
        <w:rPr>
          <w:rFonts w:ascii="Calibri" w:cs="Calibri" w:eastAsia="Calibri" w:hAnsi="Calibri"/>
          <w:i/>
          <w:iCs/>
          <w:color w:val="C7A14A"/>
          <w:sz w:val="22"/>
          <w:szCs w:val="22"/>
        </w:rPr>
        <w:t xml:space="preserve">Fázisok: 2026–2027 · 2028–2031 · 2031–2036</w:t>
      </w:r>
    </w:p>
    <w:p>
      <w:pPr>
        <w:spacing w:after="40"/>
      </w:pPr>
      <w:r>
        <w:rPr>
          <w:rFonts w:ascii="Corbel" w:cs="Corbel" w:eastAsia="Corbel" w:hAnsi="Corbel"/>
          <w:b/>
          <w:bCs/>
          <w:color w:val="1E7A34"/>
          <w:sz w:val="25"/>
          <w:szCs w:val="25"/>
        </w:rPr>
        <w:t xml:space="preserve">MAGYAR FENNTARTHATÓSÁGI KÖZPONT Alapítvány — MFKA</w:t>
      </w:r>
    </w:p>
    <w:p>
      <w:pPr>
        <w:spacing w:after="360"/>
      </w:pPr>
      <w:r>
        <w:rPr>
          <w:rFonts w:ascii="Calibri" w:cs="Calibri" w:eastAsia="Calibri" w:hAnsi="Calibri"/>
          <w:i/>
          <w:iCs/>
          <w:color w:val="6F6F6F"/>
          <w:sz w:val="22"/>
          <w:szCs w:val="22"/>
        </w:rPr>
        <w:t xml:space="preserve">A fő stratégia, valamint a KKV- és az AI-alstratégia végrehajtási rétege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152"/>
      </w:tblGrid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Verzió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v0.1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Dátum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2026. június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Státusz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Tervezet — operatív intézkedési terv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Minősítés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Munkaanyag — egyeztetésre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Felelős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Szekfü Tibor főigazgató · Vonnák Péter ügyvezető igazgató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Dokumentumgazda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MAGYAR FENNTARTHATÓSÁGI KÖZPONT Alapítvány (MFKA)</w:t>
            </w:r>
          </w:p>
        </w:tc>
      </w:tr>
    </w:tbl>
    <w:p>
      <w:pPr>
        <w:sectPr>
          <w:pgSz w:w="11906" w:h="16838" w:orient="portrait"/>
          <w:pgMar w:top="1417" w:right="1077" w:bottom="1077" w:left="1077" w:header="708" w:footer="708" w:gutter="0"/>
          <w:pgNumType/>
          <w:docGrid w:linePitch="360"/>
        </w:sectPr>
      </w:pPr>
    </w:p>
    <w:p>
      <w:pPr>
        <w:spacing w:after="160"/>
      </w:pPr>
      <w:r>
        <w:rPr>
          <w:rFonts w:ascii="Corbel" w:cs="Corbel" w:eastAsia="Corbel" w:hAnsi="Corbel"/>
          <w:b/>
          <w:bCs/>
          <w:color w:val="1E7A34"/>
          <w:sz w:val="32"/>
          <w:szCs w:val="32"/>
        </w:rPr>
        <w:t xml:space="preserve">Tartalomjegyzék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F6F6F"/>
          <w:sz w:val="18"/>
          <w:szCs w:val="18"/>
        </w:rPr>
        <w:t xml:space="preserve">A frissítéshez: jobb klikk a jegyzékre › „Mező frissítése”.</w:t>
      </w:r>
    </w:p>
    <w:sdt>
      <w:sdtPr>
        <w:alias w:val="Tartalom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Bevezetés és a terv logikája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Ez a dokumentum a gazdaság- és versenyképesség-fejlesztő stratégia operatív intézkedési terve — a kétszintű felépítés végrehajtási rétege. Míg a Stratégia a stabil keretet (jövőkép, célhierarchia, pillérek) adja, ez a terv azt fordítja le konkrét intézkedésekre, és gyakrabban (jellemzően évente) frissül. Az AI- és a KKV-alstratégiára, valamint a finanszírozási és integritás-logikára épül.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terv gerince egységes: minden intézkedéshez tartozik cél, eszköz, felelős intézmény, mérföldkő (határidő) és indikátor (mérőszám). A táblákban tömörség kedvéért a felelős és a fő mérföldkő, illetve indikátor szerepel: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Felelős.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fő gazda (elszámoltatható) intézmény. A teljes felelősségi rend (felelős, elszámoltatható, bevont, tájékoztatott — RACI) az egyes intézkedéseknél részletezhető.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Mérföldkő.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megvalósítás fő szakasza vagy határideje, a fázisokhoz igazítva.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Indikátor.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siker mérőszáma; ahol megadható, kiindulási és célértékkel (a pontos célértékek a felelős intézményekkel kalibrálandók).</w:t>
      </w:r>
    </w:p>
    <w:tbl>
      <w:tblPr>
        <w:tblW w:type="dxa" w:w="9752"/>
        <w:tblBorders>
          <w:top w:val="single" w:color="E3EFE5" w:sz="2"/>
          <w:left w:val="single" w:color="C7A14A" w:sz="26"/>
          <w:bottom w:val="single" w:color="E3EFE5" w:sz="2"/>
          <w:right w:val="single" w:color="E3EFE5" w:sz="2"/>
          <w:insideH w:val="single" w:color="auto" w:sz="4"/>
          <w:insideV w:val="single" w:color="auto" w:sz="4"/>
        </w:tblBorders>
      </w:tblPr>
      <w:tblGrid>
        <w:gridCol w:w="9752"/>
      </w:tblGrid>
      <w:tr>
        <w:tc>
          <w:tcPr>
            <w:tcW w:type="dxa" w:w="9752"/>
            <w:shd w:fill="F2F8F3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line="270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22"/>
                <w:szCs w:val="22"/>
              </w:rPr>
              <w:t xml:space="preserve">Két fontos megjegyzés. </w:t>
            </w:r>
            <w:r>
              <w:rPr>
                <w:rFonts w:ascii="Calibri" w:cs="Calibri" w:eastAsia="Calibri" w:hAnsi="Calibri"/>
                <w:color w:val="2B2B2B"/>
                <w:sz w:val="22"/>
                <w:szCs w:val="22"/>
              </w:rPr>
              <w:t xml:space="preserve">Egyrészt a felelős intézmények és a számszerű értékek itt javaslatértékűek, a felelős szervekkel véglegesítendők. Másrészt minden intézkedés a stratégia integritás-elvét követi: a tervezési, kiírási, végrehajtási és ellenőrzési funkciók szétválasztása, külső, akkreditált értékelés (ahol pályáztatás marad), valamint átlátható, adatvezérelt, nyomon követhető végrehajtás.</w:t>
            </w:r>
          </w:p>
        </w:tc>
      </w:tr>
    </w:tbl>
    <w:p>
      <w:pPr>
        <w:pStyle w:val="Heading1"/>
      </w:pPr>
      <w:r>
        <w:t xml:space="preserve">2. Átfogó ütemezés (fázisok)</w:t>
      </w:r>
    </w:p>
    <w:p>
      <w:pPr>
        <w:spacing w:after="140" w:line="276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2026–2027 — Alapozás.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jogszabályi és intézményi alapok; a normatív elosztási csatorna (Vállalkozói Kártya); a mikrohitel-portfólió és az AI-munkaállomás-utalvány indítása; a nemzeti tudásréteg és a szabályozási tesztkörnyezet; az integritás-architektúra (funkciószétválasztás, külső értékelők); az állam saját AI-bevezetésének kezdete; az első ágazati pilotok.</w:t>
      </w:r>
    </w:p>
    <w:p>
      <w:pPr>
        <w:spacing w:after="140" w:line="276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2028–2031 — Bővítés.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Országos kiterjesztés; méretnövekedés és beszállítófejlesztés; ágazati kis modellek; keresletoldali eszközök; az AI-adaptáció közelítése az uniós mediánhoz; a területi és energetikai programok kiterjesztése.</w:t>
      </w:r>
    </w:p>
    <w:p>
      <w:pPr>
        <w:spacing w:after="140" w:line="276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2031–2036 — Beérés.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termelékenységi konvergencia, a vállalkozói bázis generációs megújulása és a széles, biztonságos AI-használat beérése; a célhierarchia mind a négy szintjén mérhető elmozdulás.</w:t>
      </w:r>
    </w:p>
    <w:p>
      <w:pPr>
        <w:pStyle w:val="Heading1"/>
      </w:pPr>
      <w:r>
        <w:t xml:space="preserve">3. Pilléreken átívelő munkafolyamatok</w:t>
      </w:r>
    </w:p>
    <w:p>
      <w:pPr>
        <w:pStyle w:val="Heading2"/>
      </w:pPr>
      <w:r>
        <w:t xml:space="preserve">3.1 Finanszírozási architektúra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Cél: a teljes finanszírozási kontinuum működővé tétele — a társadalmi célú mikrohiteltől az MFB által refinanszírozott pénzügyi vállalkozásokon és a bankokon át a kockázati tőkéig —, küldetés-koherens szereplőkkel, normatív alapon.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finanszírozási programok elindításának előfeltétele egy megfelelő jogi-szabályozási keret. A társadalmi célú, fedezet nélküli mikrohitelezést egy több évtizede rendezetlen szabályozási hézag nehezíti; a stabil induláshoz olyan keret szükséges, amely — az európai szakmai ajánlásokkal és egy uniós felméréssel összhangban — világos, arányos működési szabályokat ad a nonprofit, közhasznú mikrohitelezésnek, és biztosítja a társadalmi célra rendelt közforrások átlátható, célhoz kötött, auditálható felhasználását. A megközelítés a bevált, nemzetközileg elismert hazai modellre — az 1992-ben, Phare-forrásból indított, decentralizált, nonprofit alapítványi mikrohitelezésre, amelyet 1998-ban a térség legjobb gyakorlatának ismertek el — és a részletesen kidolgozott szakmai-jogalkotási előkészítő anyagokra támaszkodhat.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0"/>
        <w:gridCol w:w="1980"/>
        <w:gridCol w:w="1750"/>
        <w:gridCol w:w="2102"/>
      </w:tblGrid>
      <w:tr>
        <w:trPr>
          <w:tblHeader/>
        </w:trP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Intézkedés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Felelős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Mérföldkő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Indikátor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A társadalmi célú mikrofinanszírozás jogi-szabályozási keretének megteremtése (a programok indításának előfeltétele)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gazdaságfejlesztésért felelős tárca; jogalkotó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hatályos, EU-konform jogszabályi keret; a közforrások célhoz kötött, auditálható kezelése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Normatív elosztási csatorna (Vállalkozói Kártya) felállítása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Min., MFKA-hálózat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működő kártya; lefedettség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Lépcsőzetes, társadalmi célú mikrohitel-portfólió (Junior, Senior, Hazatérő) indítása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MFKA-platform, megyei alapítványok, EIF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 indul, 2028–31 skálázódik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kihelyezett állomány (cél ~2 Mrd Ft 2030-ra); ügyletszám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Az MFB által refinanszírozott pénzügyi vállalkozási réteg (a „középmező”) megerősítése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MFB, pénzügyi vállalkozások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2027–28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refinanszírozott állomány; elért KKV-k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Kockázati tőke és állami tőkealapok szelektív, minőségalapú bővítése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állami tőkealap, magántőke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2028–31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bevont tőke; skálázódó cégek (szelektív)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Üzletfejlesztési tanácsadás és AI-integráció a finanszírozáshoz kötve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MFKA-hálózat, akkr. szakértők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felkészített ügyfelek aránya</w:t>
            </w:r>
          </w:p>
        </w:tc>
      </w:tr>
    </w:tbl>
    <w:p>
      <w:pPr>
        <w:spacing w:after="120"/>
      </w:pPr>
      <w:r>
        <w:t xml:space="preserve"/>
      </w:r>
    </w:p>
    <w:p/>
    <w:p>
      <w:r>
        <w:rPr>
          <w:b/>
        </w:rPr>
        <w:t xml:space="preserve">Kiegészítő, pilottal induló eszköz — zárt körű vállalkozói pontrendszer. </w:t>
      </w:r>
      <w:r>
        <w:t>A finanszírozási architektúra normatív logikáját egy zárt körű, digitális vállalkozói pontrendszer egészítheti ki, amely a mikro- és kisvállalkozásoknak alanyi jogon biztosít forgásösztönző, belső elszámolású pontkeretet (az ÁFA mindig forintban). Első lépés a jogi/statisztikai besorolás előzetes tisztázása és egy két-három megyés vagy ágazati pilot a magatartási paraméterek kalibrálására; ezt követi a fokozatos, mérésen alapuló kiterjesztés. A részletes program-leírás és a szimulációs eszközök külön dokumentációban érhetők el.</w:t>
      </w:r>
    </w:p>
    <w:p>
      <w:pPr>
        <w:pStyle w:val="Heading2"/>
      </w:pPr>
      <w:r>
        <w:t xml:space="preserve">3.2 Integritás és átlátható irányítás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Cél: a korrupció rendszerszintű visszaszorítása és az átlátható, adatvezérelt működés — az állam szabályoz, nem irányít elv gyakorlati érvényesítése.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0"/>
        <w:gridCol w:w="1980"/>
        <w:gridCol w:w="1750"/>
        <w:gridCol w:w="2102"/>
      </w:tblGrid>
      <w:tr>
        <w:trPr>
          <w:tblHeader/>
        </w:trP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Intézkedés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Felelős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Mérföldkő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Indikátor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A funkciók szétválasztása (kiíró ≠ végrehajtó ≠ szakmai ellenőr ≠ pénzügyi ellenőr)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szétválasztott eljárásrend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Külső, akkreditált értékelői rendszer (uniós mintára)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Min., akkr. értékelők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akkreditált értékelői pool; a kiíró nem értékel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Normatív tárgyi támogatás a tényleges, üzleti folyamatba illesztett használathoz kötve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használat-igazolási arány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ERP/KPI-alapú, AI-támogatott, átlátható működési modell az irányításban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2026–28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nyomon követhető ügymenet; KPI-műszerfal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Az állam példát mutat: belső AI-bevezetés (szabályzat, képzés, helyi munkaállomás, belső tudásbázis)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belső AI-szabályzat; működő munkaállomás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3.3 AI mint horizontális gyorsító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Cél: széles, biztonságos és megfizethető AI-adaptáció — hibrid, erőforrás-tudatos felépítéssel, a meglévő hazai vagyonra építve. (Részletek: AI-alstratégia.)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0"/>
        <w:gridCol w:w="1980"/>
        <w:gridCol w:w="1750"/>
        <w:gridCol w:w="2102"/>
      </w:tblGrid>
      <w:tr>
        <w:trPr>
          <w:tblHeader/>
        </w:trP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Intézkedés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Felelős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Mérföldkő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Indikátor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Normatív AI-munkaállomás-utalvány (a Kártyán át, használathoz kötve)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Min., MFKA-hálózat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igénybevétel; AI-t használó KKV-k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Nemzeti tudás- és adatréteg + ágazati tudáscsomag-pilotok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NAVÜ, HUN-REN NYTK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 első pilotok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élő pilotok száma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Ágazati kis modellek nyílt súlyú alapokon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HUN-REN NYTK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2027–28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elérhető, validált modellek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Ösztöndíj-, gyakornoki és stratégiai fejlesztési program (magyar nyelvű, szakterületi modellek)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Min., kutatóintézetek, fejlesztőcégek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 indul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gyakornokok; szerződések; modellek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AI-alapok a közoktatásban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oktatási tárca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2027–28 tananyag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bevezetett tananyag; lefedettség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Szabályozási tesztkörnyezet (AI Act, KKV-arányos)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működő tesztkörnyezet</w:t>
            </w:r>
          </w:p>
        </w:tc>
      </w:tr>
    </w:tbl>
    <w:p>
      <w:pPr>
        <w:pStyle w:val="Heading1"/>
      </w:pPr>
      <w:r>
        <w:t xml:space="preserve">4. Pillérenkénti intézkedési táblák</w:t>
      </w:r>
    </w:p>
    <w:p>
      <w:pPr>
        <w:pStyle w:val="Heading2"/>
      </w:pPr>
      <w:r>
        <w:t xml:space="preserve">4.1 KKV-termelékenység, méretnövekedés és diverzifikáció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Cél: több életképes, növekvő, technológiát használó és a középvállalati méret felé lépő KKV. (Finanszírozás: lásd 3.1.)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0"/>
        <w:gridCol w:w="1980"/>
        <w:gridCol w:w="1750"/>
        <w:gridCol w:w="2102"/>
      </w:tblGrid>
      <w:tr>
        <w:trPr>
          <w:tblHeader/>
        </w:trP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Intézkedés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Felelős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Mérföldkő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Indikátor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Integrált vállalkozásfejlesztő csomag (finanszírozás + üzletfejlesztés + AI + mentorálás)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MFKA-hálózat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csomagban részesülők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Keresletoldali eszközök: a közbeszerzés megnyitása a mikro- és kisvállalkozások felé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Min., közbeszerzés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2027–28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KKV-közbeszerzési részarány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Méretnövekedés és beszállítófejlesztés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Min., MFB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2028–31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mikro→kis, kis→közép átlépések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Körforgásos, anyaghatékony résprogram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2028–31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résztvevő cégek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4.2 Tudás és készségek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Cél: olyan munkaerő- és vállalkozói bázis, amely képes a technológiát befogadni és gyorsan alkalmazkodni. (AI-alapok a közoktatásban: lásd 3.3.)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0"/>
        <w:gridCol w:w="1980"/>
        <w:gridCol w:w="1750"/>
        <w:gridCol w:w="2102"/>
      </w:tblGrid>
      <w:tr>
        <w:trPr>
          <w:tblHeader/>
        </w:trP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Intézkedés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Felelős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Mérföldkő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Indikátor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Mikrotanúsítványi rendszer (uniós szociális alap, ESF+)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oktatási tárca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 keret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mikrotanúsítványok száma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AI-komplementer készségprogram és gyakorlati alkalmazási műhelyek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EDIH, képzők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2027–28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résztvevők; lefedettség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Karrierváltók és idősebbek újraképzése (a Senior Starthoz kötve)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MFKA-hálózat, képzők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résztvevők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4.4 Energia és erőforrás-hatékonyság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Cél: az energiaintenzitás és a kitettség csökkentése, a KKV-energiahatékonyság emelése.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0"/>
        <w:gridCol w:w="1980"/>
        <w:gridCol w:w="1750"/>
        <w:gridCol w:w="2102"/>
      </w:tblGrid>
      <w:tr>
        <w:trPr>
          <w:tblHeader/>
        </w:trP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Intézkedés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Felelős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Mérföldkő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Indikátor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KKV-energiahatékonysági program (Zöld Audit + normatív támogatás, a Kártyán át)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energiaügyi tárca, Gazd. Min.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korszerűsítések; energiaintenzitás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Helyi megújuló és tárolás ösztönzése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energiaügyi tárca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2028–31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helyi kapacitás; importfüggés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4.5 Víz, agrár és klíma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Cél: klíma- és vízálló agrárium és élelmiszerláncok; vízvisszatartás; precíziós agrárium.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0"/>
        <w:gridCol w:w="1980"/>
        <w:gridCol w:w="1750"/>
        <w:gridCol w:w="2102"/>
      </w:tblGrid>
      <w:tr>
        <w:trPr>
          <w:tblHeader/>
        </w:trP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Intézkedés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Felelős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Mérföldkő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Indikátor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Vízvisszatartás és tájgazdálkodás (normatív ösztönzők)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vízügy, agrártárca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2026–28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vízmegtartó kapacitás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Precíziós agrárium (AI, drón, szenzorok, tudáscsomagok)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agrártárca, EDIH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2028–31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elterjedtség; aszálykár-csökkenés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4.6 Területi versenyképesség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Cél: a helyi előnyök megerősítése, a területi szétszakadás lassítása, a fiatalok helyben tartása.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0"/>
        <w:gridCol w:w="1980"/>
        <w:gridCol w:w="1750"/>
        <w:gridCol w:w="2102"/>
      </w:tblGrid>
      <w:tr>
        <w:trPr>
          <w:tblHeader/>
        </w:trP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Intézkedés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Felelős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Mérföldkő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Indikátor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A megyei vállalkozásfejlesztési alapítványi hálózat aktiválása (a küllők)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MFKA-platform, megyei alapítványok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2026–27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aktivált pontok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Helyben tartó programok és klaszterek (három tértípus szerint)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területi kormányzás, megyei alapítványok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2028–31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régiós megtartás; klaszterek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4.7 Fejlett gyártás és kettős felhasználású technológiák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Cél: értéklánc-felkapaszkodás, kettős felhasználású képesség és drónökoszisztéma, a függés csökkentése.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0"/>
        <w:gridCol w:w="1980"/>
        <w:gridCol w:w="1750"/>
        <w:gridCol w:w="2102"/>
      </w:tblGrid>
      <w:tr>
        <w:trPr>
          <w:tblHeader/>
        </w:trP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Intézkedés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Felelős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Mérföldkő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17"/>
                <w:szCs w:val="17"/>
              </w:rPr>
              <w:t xml:space="preserve">Indikátor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Kettős felhasználású program és drónökoszisztéma (SAFE-forrással)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ipar/védelem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2026–28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kiépített képesség; drónökoszisztéma-mag</w:t>
            </w:r>
          </w:p>
        </w:tc>
      </w:tr>
      <w:tr>
        <w:tc>
          <w:tcPr>
            <w:tcW w:type="dxa" w:w="392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/>
                <w:bCs/>
                <w:color w:val="2B2B2B"/>
                <w:sz w:val="17"/>
                <w:szCs w:val="17"/>
              </w:rPr>
              <w:t xml:space="preserve">Értéklánc-felkapaszkodás és kritikus nyersanyag-stratégia (CRMA)</w:t>
            </w:r>
          </w:p>
        </w:tc>
        <w:tc>
          <w:tcPr>
            <w:tcW w:type="dxa" w:w="19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Gazd. Min.</w:t>
            </w:r>
          </w:p>
        </w:tc>
        <w:tc>
          <w:tcPr>
            <w:tcW w:type="dxa" w:w="175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2028–31</w:t>
            </w:r>
          </w:p>
        </w:tc>
        <w:tc>
          <w:tcPr>
            <w:tcW w:type="dxa" w:w="210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line="238"/>
            </w:pPr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17"/>
                <w:szCs w:val="17"/>
              </w:rPr>
              <w:t xml:space="preserve">hazai hozzáadottérték-hányad</w:t>
            </w:r>
          </w:p>
        </w:tc>
      </w:tr>
    </w:tbl>
    <w:p>
      <w:pPr>
        <w:pStyle w:val="Heading1"/>
      </w:pPr>
      <w:r>
        <w:t xml:space="preserve">5. Felelősségi és koordinációs rend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táblákban a felelős a fő gazdát jelöli; az egyes intézkedéseknél a teljes felelősségi rend (felelős, elszámoltatható, bevont, tájékoztatott) is rögzíthető. A végrehajtás három elven nyugszik: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Pilléreken átnyúló koordináció.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Egy koordinációs funkció megakadályozza a silósodást, és kezeli a munkafolyamatok közötti kapcsolódásokat (például a finanszírozás, az AI és a készségek összjátékát).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Szabályozó és végrehajtó szétválasztása.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szakmai, operatív végrehajtás a küldetés szerint illeszkedő, elszámoltatható szereplőknél van; az állam szabályoz, finanszíroz, garantál és elszámoltat.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Nemzetközi és legjobb gyakorlat.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Dedikált funkció az uniós illeszkedéshez és alakításhoz, valamint a bevált nemzetközi megoldások becsatornázásához.</w:t>
      </w:r>
    </w:p>
    <w:p>
      <w:pPr>
        <w:pStyle w:val="Heading1"/>
      </w:pPr>
      <w:r>
        <w:t xml:space="preserve">6. Monitoring, indikátorok és felülvizsgálat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terv előrehaladását a célhierarchia mind a négy szintjén — és a bizalmat mint annak talaját — mérjük, tényleges hatásra, nem kimeneti darabszámokra építve, kontrollcsoportos (OECD-módszertan szerinti) értékeléssel. A követés átlátható, adatvezérelt és AI-támogatott: nyomon követhető, hol és kinél akad el egy intézkedés, és a felelősség személyhez köthető.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Eredménytábla és felülvizsgálat.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Éves eredménytábla, kétévenkénti mélyfelülvizsgálat; a terv ennek alapján frissül, miközben a Stratégia stabil marad.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Nyilvánosság.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Az indikátorok nyilvánosak — ami önmagában is bizalmat épít.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Indikátor-szintek.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Versenyképesség és életképesség (termelékenység, hozzáadott érték, méretnövekedés, túlélés); válságállóság és alkalmazkodóképesség (kitettség- és függőségcsökkenés, újraképzés); elégedettség és boldogság (jóllét); bizalom és kereslet (vállalkozói szándék, hazatérési arány, beruházási hajlandóság).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Vállalati szintű versenyképesség-mérés.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vállalkozói versenyképességi önértékelés (kidolgozás alatt) a kompetenciaterületeket pontozza; aggregált, anonimizált eredménye kimeneti mutató és egyúttal a fejlesztési csomag célzását segítő eszköz.</w:t>
      </w:r>
    </w:p>
    <w:p>
      <w:pPr>
        <w:pStyle w:val="Heading1"/>
      </w:pPr>
      <w:r>
        <w:t xml:space="preserve">7. Záró megjegyzés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Ez a terv a stratégia gyakrabban frissülő, végrehajtási rétege. A felelős intézmények és a számszerű célértékek javaslatértékűek, a felelős szervekkel véglegesítendők; a terv évente frissül, miközben a Stratégia, valamint a KKV- és az AI-alstratégia adja a stabil keretet. A részletes, intézkedésenkénti felelősségi mátrix, ütemterv és forrásterv a végrehajtás megkezdésekor dolgozható ki.</w:t>
      </w:r>
    </w:p>
    <w:sectPr>
      <w:headerReference w:type="default" r:id="rId7"/>
      <w:footerReference w:type="default" r:id="rId8"/>
      <w:pgSz w:w="11906" w:h="16838" w:orient="portrait"/>
      <w:pgMar w:top="1417" w:right="1077" w:bottom="1077" w:left="107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7A34" w:sz="6" w:space="4"/>
      </w:pBdr>
      <w:tabs>
        <w:tab w:val="right" w:pos="9026"/>
      </w:tabs>
      <w:spacing w:before="60"/>
    </w:pPr>
    <w:r>
      <w:rPr>
        <w:rFonts w:ascii="Corbel" w:cs="Corbel" w:eastAsia="Corbel" w:hAnsi="Corbel"/>
        <w:color w:val="6F6F6F"/>
        <w:sz w:val="16"/>
        <w:szCs w:val="16"/>
      </w:rPr>
      <w:t xml:space="preserve">MFKA · operatív intézkedési terv (tervezet)</w:t>
    </w:r>
    <w:r>
      <w:rPr>
        <w:rFonts w:ascii="Corbel" w:cs="Corbel" w:eastAsia="Corbel" w:hAnsi="Corbel"/>
        <w:color w:val="6F6F6F"/>
        <w:sz w:val="16"/>
        <w:szCs w:val="16"/>
      </w:rPr>
      <w:t xml:space="preserve">	Oldal </w:t>
    </w:r>
    <w:r>
      <w:rPr>
        <w:rFonts w:ascii="Corbel" w:cs="Corbel" w:eastAsia="Corbel" w:hAnsi="Corbel"/>
        <w:color w:val="6F6F6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orbel" w:cs="Corbel" w:eastAsia="Corbel" w:hAnsi="Corbel"/>
        <w:color w:val="6F6F6F"/>
        <w:sz w:val="16"/>
        <w:szCs w:val="16"/>
      </w:rPr>
      <w:t xml:space="preserve"> / </w:t>
    </w:r>
    <w:r>
      <w:rPr>
        <w:rFonts w:ascii="Corbel" w:cs="Corbel" w:eastAsia="Corbel" w:hAnsi="Corbel"/>
        <w:color w:val="6F6F6F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7A34" w:sz="6" w:space="4"/>
      </w:pBdr>
      <w:tabs>
        <w:tab w:val="right" w:pos="9026"/>
      </w:tabs>
      <w:spacing w:after="60"/>
    </w:pPr>
    <w:r>
      <w:rPr>
        <w:rFonts w:ascii="Corbel" w:cs="Corbel" w:eastAsia="Corbel" w:hAnsi="Corbel"/>
        <w:color w:val="404040"/>
        <w:sz w:val="16"/>
        <w:szCs w:val="16"/>
      </w:rPr>
      <w:t xml:space="preserve">MFKA</w:t>
    </w:r>
    <w:r>
      <w:rPr>
        <w:rFonts w:ascii="Corbel" w:cs="Corbel" w:eastAsia="Corbel" w:hAnsi="Corbel"/>
        <w:color w:val="404040"/>
        <w:sz w:val="16"/>
        <w:szCs w:val="16"/>
      </w:rPr>
      <w:t xml:space="preserve">	Operatív intézkedési terv 2026–2036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  <w:rPr>
        <w:color w:val="1E7A3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B2B2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00"/>
      <w:outlineLvl w:val="0"/>
    </w:pPr>
    <w:rPr>
      <w:rFonts w:ascii="Corbel" w:cs="Corbel" w:eastAsia="Corbel" w:hAnsi="Corbel"/>
      <w:b/>
      <w:bCs/>
      <w:color w:val="1E7A3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Corbel" w:cs="Corbel" w:eastAsia="Corbel" w:hAnsi="Corbel"/>
      <w:b/>
      <w:bCs/>
      <w:color w:val="1E7A34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Operatív intézkedési terv 2026–2036</dc:title>
  <dc:creator>MAGYAR FENNTARTHATÓSÁGI KÖZPONT Alapítvány</dc:creator>
  <cp:lastModifiedBy>Un-named</cp:lastModifiedBy>
  <cp:revision>1</cp:revision>
  <dcterms:created xsi:type="dcterms:W3CDTF">2026-06-06T20:52:31.333Z</dcterms:created>
  <dcterms:modified xsi:type="dcterms:W3CDTF">2026-06-06T20:52:31.333Z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