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A44F" w14:textId="77777777" w:rsidR="00A169A1" w:rsidRDefault="00A169A1" w:rsidP="0093445C">
      <w:pPr>
        <w:spacing w:after="240"/>
        <w:jc w:val="both"/>
      </w:pPr>
    </w:p>
    <w:tbl>
      <w:tblPr>
        <w:tblW w:w="9752" w:type="dxa"/>
        <w:tblBorders>
          <w:top w:val="single" w:sz="2" w:space="0" w:color="1E7A34"/>
          <w:left w:val="single" w:sz="2" w:space="0" w:color="1E7A34"/>
          <w:bottom w:val="single" w:sz="2" w:space="0" w:color="1E7A34"/>
          <w:right w:val="single" w:sz="2" w:space="0" w:color="1E7A34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A169A1" w14:paraId="5BC2D1C4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tcBorders>
              <w:top w:val="single" w:sz="2" w:space="0" w:color="1E7A34"/>
              <w:left w:val="single" w:sz="2" w:space="0" w:color="1E7A34"/>
              <w:bottom w:val="single" w:sz="2" w:space="0" w:color="1E7A34"/>
              <w:right w:val="single" w:sz="2" w:space="0" w:color="1E7A34"/>
            </w:tcBorders>
            <w:shd w:val="clear" w:color="auto" w:fill="1E7A34"/>
            <w:tcMar>
              <w:top w:w="320" w:type="dxa"/>
              <w:left w:w="300" w:type="dxa"/>
              <w:bottom w:w="320" w:type="dxa"/>
              <w:right w:w="300" w:type="dxa"/>
            </w:tcMar>
          </w:tcPr>
          <w:p w14:paraId="650E5B77" w14:textId="77777777" w:rsidR="00A169A1" w:rsidRDefault="00000000" w:rsidP="0093445C">
            <w:pPr>
              <w:spacing w:after="100"/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GAZDASÁG- ÉS VERSENYKÉPESSÉG-FEJLESZTŐ STRATÉGIA · 2026–2036</w:t>
            </w:r>
          </w:p>
          <w:p w14:paraId="72D7CC3A" w14:textId="77777777" w:rsidR="00A169A1" w:rsidRDefault="00000000" w:rsidP="0093445C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40"/>
                <w:szCs w:val="40"/>
              </w:rPr>
              <w:t xml:space="preserve">Termelékenység, </w:t>
            </w:r>
            <w:proofErr w:type="spellStart"/>
            <w:r>
              <w:rPr>
                <w:rFonts w:ascii="Corbel" w:eastAsia="Corbel" w:hAnsi="Corbel" w:cs="Corbel"/>
                <w:b/>
                <w:bCs/>
                <w:color w:val="FFFFFF"/>
                <w:sz w:val="40"/>
                <w:szCs w:val="40"/>
              </w:rPr>
              <w:t>reziliencia</w:t>
            </w:r>
            <w:proofErr w:type="spellEnd"/>
            <w:r>
              <w:rPr>
                <w:rFonts w:ascii="Corbel" w:eastAsia="Corbel" w:hAnsi="Corbel" w:cs="Corbel"/>
                <w:b/>
                <w:bCs/>
                <w:color w:val="FFFFFF"/>
                <w:sz w:val="40"/>
                <w:szCs w:val="40"/>
              </w:rPr>
              <w:t>, alkalmazkodás</w:t>
            </w:r>
          </w:p>
        </w:tc>
      </w:tr>
    </w:tbl>
    <w:p w14:paraId="5BF6406A" w14:textId="77777777" w:rsidR="00A169A1" w:rsidRDefault="00A169A1" w:rsidP="0093445C">
      <w:pPr>
        <w:spacing w:after="260"/>
        <w:jc w:val="both"/>
      </w:pPr>
    </w:p>
    <w:p w14:paraId="11121826" w14:textId="77777777" w:rsidR="00A169A1" w:rsidRDefault="00000000" w:rsidP="0093445C">
      <w:pPr>
        <w:spacing w:after="120" w:line="300" w:lineRule="auto"/>
        <w:jc w:val="both"/>
      </w:pPr>
      <w:r>
        <w:rPr>
          <w:rFonts w:ascii="Corbel" w:eastAsia="Corbel" w:hAnsi="Corbel" w:cs="Corbel"/>
          <w:color w:val="404040"/>
          <w:sz w:val="28"/>
          <w:szCs w:val="28"/>
        </w:rPr>
        <w:t xml:space="preserve">Nemzeti gazdaság- és versenyképesség-fejlesztő stratégia — a kis- és középvállalkozói </w:t>
      </w:r>
      <w:proofErr w:type="gramStart"/>
      <w:r>
        <w:rPr>
          <w:rFonts w:ascii="Corbel" w:eastAsia="Corbel" w:hAnsi="Corbel" w:cs="Corbel"/>
          <w:color w:val="404040"/>
          <w:sz w:val="28"/>
          <w:szCs w:val="28"/>
        </w:rPr>
        <w:t>szektor</w:t>
      </w:r>
      <w:proofErr w:type="gramEnd"/>
      <w:r>
        <w:rPr>
          <w:rFonts w:ascii="Corbel" w:eastAsia="Corbel" w:hAnsi="Corbel" w:cs="Corbel"/>
          <w:color w:val="404040"/>
          <w:sz w:val="28"/>
          <w:szCs w:val="28"/>
        </w:rPr>
        <w:t xml:space="preserve"> mint operatív gerinc</w:t>
      </w:r>
    </w:p>
    <w:p w14:paraId="7E352405" w14:textId="77777777" w:rsidR="00A169A1" w:rsidRDefault="00000000" w:rsidP="0093445C">
      <w:pPr>
        <w:spacing w:after="320"/>
        <w:jc w:val="both"/>
      </w:pPr>
      <w:r>
        <w:rPr>
          <w:i/>
          <w:iCs/>
          <w:color w:val="C7A14A"/>
        </w:rPr>
        <w:t xml:space="preserve">Célállapot: </w:t>
      </w:r>
      <w:proofErr w:type="gramStart"/>
      <w:r>
        <w:rPr>
          <w:i/>
          <w:iCs/>
          <w:color w:val="C7A14A"/>
        </w:rPr>
        <w:t>2036  ·</w:t>
      </w:r>
      <w:proofErr w:type="gramEnd"/>
      <w:r>
        <w:rPr>
          <w:i/>
          <w:iCs/>
          <w:color w:val="C7A14A"/>
        </w:rPr>
        <w:t xml:space="preserve">  középtávú fordulópont: 2031</w:t>
      </w:r>
    </w:p>
    <w:p w14:paraId="57B3D930" w14:textId="77777777" w:rsidR="00A169A1" w:rsidRDefault="00000000" w:rsidP="0093445C">
      <w:pPr>
        <w:spacing w:after="40"/>
        <w:jc w:val="both"/>
      </w:pPr>
      <w:r>
        <w:rPr>
          <w:rFonts w:ascii="Corbel" w:eastAsia="Corbel" w:hAnsi="Corbel" w:cs="Corbel"/>
          <w:b/>
          <w:bCs/>
          <w:color w:val="1E7A34"/>
          <w:sz w:val="26"/>
          <w:szCs w:val="26"/>
        </w:rPr>
        <w:t>MAGYAR FENNTARTHATÓSÁGI KÖZPONT Alapítvány — MFKA</w:t>
      </w:r>
    </w:p>
    <w:p w14:paraId="299FEC91" w14:textId="77777777" w:rsidR="00A169A1" w:rsidRDefault="00000000" w:rsidP="0093445C">
      <w:pPr>
        <w:spacing w:after="360"/>
        <w:jc w:val="both"/>
      </w:pPr>
      <w:r>
        <w:rPr>
          <w:i/>
          <w:iCs/>
          <w:color w:val="6F6F6F"/>
        </w:rPr>
        <w:t>Gazdaság- és versenyképesség-fejlesztési szakmai műhely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152"/>
      </w:tblGrid>
      <w:tr w:rsidR="00A169A1" w14:paraId="58EC765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7434041" w14:textId="77777777" w:rsidR="00A169A1" w:rsidRDefault="00000000" w:rsidP="0093445C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Verzió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6A04E5B0" w14:textId="77777777" w:rsidR="00A169A1" w:rsidRDefault="00000000" w:rsidP="0093445C">
            <w:pPr>
              <w:jc w:val="both"/>
            </w:pPr>
            <w:r>
              <w:rPr>
                <w:sz w:val="20"/>
                <w:szCs w:val="20"/>
              </w:rPr>
              <w:t>v0.1</w:t>
            </w:r>
          </w:p>
        </w:tc>
      </w:tr>
      <w:tr w:rsidR="00A169A1" w14:paraId="182408B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0283D20D" w14:textId="77777777" w:rsidR="00A169A1" w:rsidRDefault="00000000" w:rsidP="0093445C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Dátum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161E0149" w14:textId="77777777" w:rsidR="00A169A1" w:rsidRDefault="00000000" w:rsidP="0093445C">
            <w:pPr>
              <w:jc w:val="both"/>
            </w:pPr>
            <w:r>
              <w:rPr>
                <w:sz w:val="20"/>
                <w:szCs w:val="20"/>
              </w:rPr>
              <w:t>2026. június</w:t>
            </w:r>
          </w:p>
        </w:tc>
      </w:tr>
      <w:tr w:rsidR="00A169A1" w14:paraId="47FAB9E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96F31FE" w14:textId="77777777" w:rsidR="00A169A1" w:rsidRDefault="00000000" w:rsidP="0093445C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Státusz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9DDAB1F" w14:textId="77777777" w:rsidR="00A169A1" w:rsidRDefault="00000000" w:rsidP="0093445C">
            <w:pPr>
              <w:jc w:val="both"/>
            </w:pPr>
            <w:r>
              <w:rPr>
                <w:sz w:val="20"/>
                <w:szCs w:val="20"/>
              </w:rPr>
              <w:t>Teljes tervezet — a Stratégia minden fejezete</w:t>
            </w:r>
          </w:p>
        </w:tc>
      </w:tr>
      <w:tr w:rsidR="00A169A1" w14:paraId="3529B14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8BA8D49" w14:textId="77777777" w:rsidR="00A169A1" w:rsidRDefault="00000000" w:rsidP="0093445C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Minősítés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7CB1678" w14:textId="77777777" w:rsidR="00A169A1" w:rsidRDefault="00000000" w:rsidP="0093445C">
            <w:pPr>
              <w:jc w:val="both"/>
            </w:pPr>
            <w:r>
              <w:rPr>
                <w:sz w:val="20"/>
                <w:szCs w:val="20"/>
              </w:rPr>
              <w:t>Munkaanyag — egyeztetésre</w:t>
            </w:r>
          </w:p>
        </w:tc>
      </w:tr>
      <w:tr w:rsidR="00A169A1" w14:paraId="25BB384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1B8255F9" w14:textId="77777777" w:rsidR="00A169A1" w:rsidRDefault="00000000" w:rsidP="0093445C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Felelős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228E3E2" w14:textId="77777777" w:rsidR="00A169A1" w:rsidRDefault="00000000" w:rsidP="0093445C">
            <w:pPr>
              <w:jc w:val="both"/>
            </w:pPr>
            <w:proofErr w:type="spellStart"/>
            <w:r>
              <w:rPr>
                <w:sz w:val="20"/>
                <w:szCs w:val="20"/>
              </w:rPr>
              <w:t>Szekfü</w:t>
            </w:r>
            <w:proofErr w:type="spellEnd"/>
            <w:r>
              <w:rPr>
                <w:sz w:val="20"/>
                <w:szCs w:val="20"/>
              </w:rPr>
              <w:t xml:space="preserve"> Tibor főigazgató · Vonnák Péter ügyvezető igazgató</w:t>
            </w:r>
          </w:p>
        </w:tc>
      </w:tr>
      <w:tr w:rsidR="00A169A1" w14:paraId="686797A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1A6BF50F" w14:textId="77777777" w:rsidR="00A169A1" w:rsidRDefault="00000000" w:rsidP="0093445C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Dokumentumgazda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AA5096E" w14:textId="77777777" w:rsidR="00A169A1" w:rsidRDefault="00000000" w:rsidP="0093445C">
            <w:pPr>
              <w:jc w:val="both"/>
            </w:pPr>
            <w:r>
              <w:rPr>
                <w:sz w:val="20"/>
                <w:szCs w:val="20"/>
              </w:rPr>
              <w:t>MAGYAR FENNTARTHATÓSÁGI KÖZPONT Alapítvány (MFKA)</w:t>
            </w:r>
          </w:p>
        </w:tc>
      </w:tr>
    </w:tbl>
    <w:p w14:paraId="6931C193" w14:textId="77777777" w:rsidR="00A169A1" w:rsidRDefault="00A169A1" w:rsidP="0093445C">
      <w:pPr>
        <w:jc w:val="both"/>
        <w:sectPr w:rsidR="00A169A1">
          <w:pgSz w:w="11906" w:h="16838"/>
          <w:pgMar w:top="1417" w:right="1077" w:bottom="1077" w:left="1077" w:header="708" w:footer="708" w:gutter="0"/>
          <w:cols w:space="708"/>
          <w:docGrid w:linePitch="360"/>
        </w:sectPr>
      </w:pPr>
    </w:p>
    <w:p w14:paraId="34DC116D" w14:textId="77777777" w:rsidR="00A169A1" w:rsidRDefault="00000000" w:rsidP="0093445C">
      <w:pPr>
        <w:spacing w:after="160"/>
        <w:jc w:val="both"/>
      </w:pPr>
      <w:r>
        <w:rPr>
          <w:rFonts w:ascii="Corbel" w:eastAsia="Corbel" w:hAnsi="Corbel" w:cs="Corbel"/>
          <w:b/>
          <w:bCs/>
          <w:color w:val="1E7A34"/>
          <w:sz w:val="32"/>
          <w:szCs w:val="32"/>
        </w:rPr>
        <w:lastRenderedPageBreak/>
        <w:t>Tartalomjegyzék</w:t>
      </w:r>
    </w:p>
    <w:p w14:paraId="79954116" w14:textId="77777777" w:rsidR="00A169A1" w:rsidRDefault="00000000" w:rsidP="0093445C">
      <w:pPr>
        <w:spacing w:after="120"/>
        <w:jc w:val="both"/>
      </w:pPr>
      <w:r>
        <w:rPr>
          <w:i/>
          <w:iCs/>
          <w:color w:val="6F6F6F"/>
          <w:sz w:val="18"/>
          <w:szCs w:val="18"/>
        </w:rPr>
        <w:t>A frissítéshez: jobb klikk a jegyzékre › „Mező frissítése”.</w:t>
      </w:r>
    </w:p>
    <w:sdt>
      <w:sdtPr>
        <w:alias w:val="Tartalom"/>
        <w:id w:val="-136802127"/>
      </w:sdtPr>
      <w:sdtContent>
        <w:p w14:paraId="6DEED590" w14:textId="77777777" w:rsidR="0093445C" w:rsidRDefault="00000000" w:rsidP="0093445C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r>
            <w:fldChar w:fldCharType="begin"/>
          </w:r>
          <w:r>
            <w:instrText>TOC \h \o "1-2"</w:instrText>
          </w:r>
          <w:r>
            <w:fldChar w:fldCharType="separate"/>
          </w:r>
          <w:hyperlink w:anchor="_Toc231682197" w:history="1">
            <w:r w:rsidR="0093445C" w:rsidRPr="00EE08EF">
              <w:rPr>
                <w:rStyle w:val="Hiperhivatkozs"/>
                <w:noProof/>
              </w:rPr>
              <w:t>Vezetői összefoglaló</w:t>
            </w:r>
            <w:r w:rsidR="0093445C">
              <w:rPr>
                <w:noProof/>
              </w:rPr>
              <w:tab/>
            </w:r>
            <w:r w:rsidR="0093445C">
              <w:rPr>
                <w:noProof/>
              </w:rPr>
              <w:fldChar w:fldCharType="begin"/>
            </w:r>
            <w:r w:rsidR="0093445C">
              <w:rPr>
                <w:noProof/>
              </w:rPr>
              <w:instrText xml:space="preserve"> PAGEREF _Toc231682197 \h </w:instrText>
            </w:r>
            <w:r w:rsidR="0093445C">
              <w:rPr>
                <w:noProof/>
              </w:rPr>
            </w:r>
            <w:r w:rsidR="0093445C">
              <w:rPr>
                <w:noProof/>
              </w:rPr>
              <w:fldChar w:fldCharType="separate"/>
            </w:r>
            <w:r w:rsidR="0093445C">
              <w:rPr>
                <w:noProof/>
              </w:rPr>
              <w:t>3</w:t>
            </w:r>
            <w:r w:rsidR="0093445C">
              <w:rPr>
                <w:noProof/>
              </w:rPr>
              <w:fldChar w:fldCharType="end"/>
            </w:r>
          </w:hyperlink>
        </w:p>
        <w:p w14:paraId="7E83D6CA" w14:textId="77777777" w:rsidR="0093445C" w:rsidRDefault="0093445C" w:rsidP="0093445C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2198" w:history="1">
            <w:r w:rsidRPr="00EE08EF">
              <w:rPr>
                <w:rStyle w:val="Hiperhivatkozs"/>
                <w:noProof/>
              </w:rPr>
              <w:t>1. Mandátum és alapelvek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_Toc231682198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22D40FBA" w14:textId="77777777" w:rsidR="0093445C" w:rsidRDefault="0093445C" w:rsidP="0093445C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2199" w:history="1">
            <w:r w:rsidRPr="00EE08EF">
              <w:rPr>
                <w:rStyle w:val="Hiperhivatkozs"/>
                <w:noProof/>
              </w:rPr>
              <w:t>2. Helyzetkép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_Toc231682199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3C6C0E4A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00" w:history="1">
            <w:r w:rsidRPr="00EE08EF">
              <w:rPr>
                <w:rStyle w:val="Hiperhivatkozs"/>
                <w:noProof/>
              </w:rPr>
              <w:t>2.1 Makrogazdasági keret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86CFDCF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01" w:history="1">
            <w:r w:rsidRPr="00EE08EF">
              <w:rPr>
                <w:rStyle w:val="Hiperhivatkozs"/>
                <w:noProof/>
              </w:rPr>
              <w:t>2.2 Termelékenység és KKV-szerkezet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851A845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02" w:history="1">
            <w:r w:rsidRPr="00EE08EF">
              <w:rPr>
                <w:rStyle w:val="Hiperhivatkozs"/>
                <w:noProof/>
              </w:rPr>
              <w:t>2.3 Tudás, innováció és digitalizáció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5FB13023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03" w:history="1">
            <w:r w:rsidRPr="00EE08EF">
              <w:rPr>
                <w:rStyle w:val="Hiperhivatkozs"/>
                <w:noProof/>
              </w:rPr>
              <w:t>2.4 Energia, víz és klíma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2B909D16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04" w:history="1">
            <w:r w:rsidRPr="00EE08EF">
              <w:rPr>
                <w:rStyle w:val="Hiperhivatkozs"/>
                <w:noProof/>
              </w:rPr>
              <w:t>2.5 Geopolitika és a szűkülő mozgástér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65E71DD2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05" w:history="1">
            <w:r w:rsidRPr="00EE08EF">
              <w:rPr>
                <w:rStyle w:val="Hiperhivatkozs"/>
                <w:noProof/>
              </w:rPr>
              <w:t>2.6 Kereslet, bizalom és vállalkozói kedv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6E6FF068" w14:textId="77777777" w:rsidR="0093445C" w:rsidRDefault="0093445C" w:rsidP="0093445C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2206" w:history="1">
            <w:r w:rsidRPr="00EE08EF">
              <w:rPr>
                <w:rStyle w:val="Hiperhivatkozs"/>
                <w:noProof/>
              </w:rPr>
              <w:t>3. Jövőkép és célhierarchia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5766ADEE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07" w:history="1">
            <w:r w:rsidRPr="00EE08EF">
              <w:rPr>
                <w:rStyle w:val="Hiperhivatkozs"/>
                <w:noProof/>
              </w:rPr>
              <w:t>3.1 Tízéves célállapot (2036)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192B6FE3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08" w:history="1">
            <w:r w:rsidRPr="00EE08EF">
              <w:rPr>
                <w:rStyle w:val="Hiperhivatkozs"/>
                <w:noProof/>
              </w:rPr>
              <w:t>3.2 Ötéves fordulópont (2031)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32700493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09" w:history="1">
            <w:r w:rsidRPr="00EE08EF">
              <w:rPr>
                <w:rStyle w:val="Hiperhivatkozs"/>
                <w:noProof/>
              </w:rPr>
              <w:t>3.3 A célhierarchia és a mérés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0E6C3C38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10" w:history="1">
            <w:r w:rsidRPr="00EE08EF">
              <w:rPr>
                <w:rStyle w:val="Hiperhivatkozs"/>
                <w:noProof/>
              </w:rPr>
              <w:t>3.4 Köztes mérföldkövek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694EE863" w14:textId="77777777" w:rsidR="0093445C" w:rsidRDefault="0093445C" w:rsidP="0093445C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2211" w:history="1">
            <w:r w:rsidRPr="00EE08EF">
              <w:rPr>
                <w:rStyle w:val="Hiperhivatkozs"/>
                <w:noProof/>
              </w:rPr>
              <w:t>4. Stratégiai pillérek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13361913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12" w:history="1">
            <w:r w:rsidRPr="00EE08EF">
              <w:rPr>
                <w:rStyle w:val="Hiperhivatkozs"/>
                <w:noProof/>
              </w:rPr>
              <w:t>4.1 Első pillér — KKV-termelékenység, méretnövekedés és értéklánc-diverzifikáció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1D6CB217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13" w:history="1">
            <w:r w:rsidRPr="00EE08EF">
              <w:rPr>
                <w:rStyle w:val="Hiperhivatkozs"/>
                <w:noProof/>
              </w:rPr>
              <w:t>4.2 Második pillér — Tudás, készségek és vállalkozói képességek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DF8DB11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14" w:history="1">
            <w:r w:rsidRPr="00EE08EF">
              <w:rPr>
                <w:rStyle w:val="Hiperhivatkozs"/>
                <w:noProof/>
              </w:rPr>
              <w:t>4.3 Harmadik pillér — Technológia, AI és digitális diffúzió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7EF91CA6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15" w:history="1">
            <w:r w:rsidRPr="00EE08EF">
              <w:rPr>
                <w:rStyle w:val="Hiperhivatkozs"/>
                <w:noProof/>
              </w:rPr>
              <w:t>4.4 Negyedik pillér — Energiafüggetlenség és erőforrás-hatékonyság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35CD07B6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16" w:history="1">
            <w:r w:rsidRPr="00EE08EF">
              <w:rPr>
                <w:rStyle w:val="Hiperhivatkozs"/>
                <w:noProof/>
              </w:rPr>
              <w:t>4.5 Ötödik pillér — Víz-, agrár- és klímaadaptáció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15ADB141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17" w:history="1">
            <w:r w:rsidRPr="00EE08EF">
              <w:rPr>
                <w:rStyle w:val="Hiperhivatkozs"/>
                <w:noProof/>
              </w:rPr>
              <w:t>4.6 Hatodik pillér — Területi versenyképesség és regionális újraszervezés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4375BFD0" w14:textId="77777777" w:rsidR="0093445C" w:rsidRDefault="0093445C" w:rsidP="0093445C">
          <w:pPr>
            <w:pStyle w:val="TJ2"/>
            <w:tabs>
              <w:tab w:val="right" w:leader="dot" w:pos="9742"/>
            </w:tabs>
            <w:jc w:val="both"/>
            <w:rPr>
              <w:noProof/>
            </w:rPr>
          </w:pPr>
          <w:hyperlink w:anchor="_Toc231682218" w:history="1">
            <w:r w:rsidRPr="00EE08EF">
              <w:rPr>
                <w:rStyle w:val="Hiperhivatkozs"/>
                <w:noProof/>
              </w:rPr>
              <w:t>4.7 Kiemelt terület — Fejlett gyártás és kettős felhasználású technológiák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174C670E" w14:textId="77777777" w:rsidR="0093445C" w:rsidRDefault="0093445C" w:rsidP="0093445C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2219" w:history="1">
            <w:r w:rsidRPr="00EE08EF">
              <w:rPr>
                <w:rStyle w:val="Hiperhivatkozs"/>
                <w:noProof/>
              </w:rPr>
              <w:t>5. EU-illeszkedés és EU-alakítás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691A4B6A" w14:textId="77777777" w:rsidR="0093445C" w:rsidRDefault="0093445C" w:rsidP="0093445C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2220" w:history="1">
            <w:r w:rsidRPr="00EE08EF">
              <w:rPr>
                <w:rStyle w:val="Hiperhivatkozs"/>
                <w:noProof/>
              </w:rPr>
              <w:t>6. Finanszírozási architektúra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30CC1EB7" w14:textId="77777777" w:rsidR="0093445C" w:rsidRDefault="0093445C" w:rsidP="0093445C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2221" w:history="1">
            <w:r w:rsidRPr="00EE08EF">
              <w:rPr>
                <w:rStyle w:val="Hiperhivatkozs"/>
                <w:noProof/>
              </w:rPr>
              <w:t>7. Intézményi és végrehajtási rend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21C319F7" w14:textId="77777777" w:rsidR="0093445C" w:rsidRDefault="0093445C" w:rsidP="0093445C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2222" w:history="1">
            <w:r w:rsidRPr="00EE08EF">
              <w:rPr>
                <w:rStyle w:val="Hiperhivatkozs"/>
                <w:noProof/>
              </w:rPr>
              <w:t>8. Monitoring és értékelés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54C7D725" w14:textId="77777777" w:rsidR="0093445C" w:rsidRDefault="0093445C" w:rsidP="0093445C">
          <w:pPr>
            <w:pStyle w:val="TJ1"/>
            <w:tabs>
              <w:tab w:val="right" w:leader="dot" w:pos="9742"/>
            </w:tabs>
            <w:jc w:val="both"/>
            <w:rPr>
              <w:noProof/>
            </w:rPr>
          </w:pPr>
          <w:hyperlink w:anchor="_Toc231682223" w:history="1">
            <w:r w:rsidRPr="00EE08EF">
              <w:rPr>
                <w:rStyle w:val="Hiperhivatkozs"/>
                <w:noProof/>
              </w:rPr>
              <w:t>9. Mellékletek és a stratégia folytatása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_Toc231682223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11958C0C" w14:textId="77777777" w:rsidR="00A169A1" w:rsidRDefault="00000000" w:rsidP="0093445C">
          <w:pPr>
            <w:jc w:val="both"/>
          </w:pPr>
          <w:r>
            <w:fldChar w:fldCharType="end"/>
          </w:r>
        </w:p>
      </w:sdtContent>
    </w:sdt>
    <w:p w14:paraId="312A6786" w14:textId="77777777" w:rsidR="00A169A1" w:rsidRDefault="00000000" w:rsidP="0093445C">
      <w:pPr>
        <w:jc w:val="both"/>
      </w:pPr>
      <w:r>
        <w:br w:type="page"/>
      </w:r>
    </w:p>
    <w:p w14:paraId="42D25E3D" w14:textId="77777777" w:rsidR="00A169A1" w:rsidRDefault="00000000" w:rsidP="0093445C">
      <w:pPr>
        <w:pStyle w:val="Cmsor1"/>
        <w:jc w:val="both"/>
      </w:pPr>
      <w:bookmarkStart w:id="0" w:name="_Toc231682197"/>
      <w:r>
        <w:lastRenderedPageBreak/>
        <w:t>Vezetői összefoglaló</w:t>
      </w:r>
      <w:bookmarkEnd w:id="0"/>
    </w:p>
    <w:p w14:paraId="1B762CD8" w14:textId="77777777" w:rsidR="00A169A1" w:rsidRDefault="00000000" w:rsidP="0093445C">
      <w:pPr>
        <w:spacing w:after="140" w:line="276" w:lineRule="auto"/>
        <w:jc w:val="both"/>
      </w:pPr>
      <w:r>
        <w:t>Magyarországnak nem újabb programhalmazra, hanem egyetlen, világos cél–eszköz–intézmény logikára épülő, végrehajtható gazdaság- és versenyképesség-fejlesztő stratégiára van szüksége. Ebben a kis- és középvállalkozói (KKV-) szektor nem különálló terület, hanem a nemzeti stratégia operatív gerince.</w:t>
      </w:r>
    </w:p>
    <w:p w14:paraId="1FA3166A" w14:textId="77777777" w:rsidR="00A169A1" w:rsidRDefault="00000000" w:rsidP="0093445C">
      <w:pPr>
        <w:spacing w:after="140" w:line="276" w:lineRule="auto"/>
        <w:jc w:val="both"/>
      </w:pPr>
      <w:r>
        <w:t>A diagnózis kemény. A magyar gazdaság gyenge növekedés után csak lassan élénkül, a költségvetési hiány és az adósságszolgálat terhe az EU-ban a legmagasabbak között van, a termelékenység pedig tartósan elmarad: a KKV-szektor egy foglalkoztatottra jutó hozzáadott értéke a nagyvállalatok szintjének mintegy harmadát, az uniós átlagnak alig felét éri el. A probléma tehát nem a vállalkozások száma, hanem a minőség, a termelékenység és az alkalmazkodóképesség.</w:t>
      </w:r>
    </w:p>
    <w:p w14:paraId="4E9F9FF9" w14:textId="77777777" w:rsidR="00A169A1" w:rsidRDefault="00000000" w:rsidP="0093445C">
      <w:pPr>
        <w:spacing w:after="140" w:line="276" w:lineRule="auto"/>
        <w:jc w:val="both"/>
      </w:pPr>
      <w:r>
        <w:t xml:space="preserve">Mindezt egy szűkülő mozgástér keretezi: a kritikus nyersanyagok szűkössége, a strukturálisan magas európai energiaárak, a Kárpát-medence klíma- és vízválsága, valamint a globális ellátási láncok geopolitikai </w:t>
      </w:r>
      <w:proofErr w:type="spellStart"/>
      <w:r>
        <w:t>újrarendeződése</w:t>
      </w:r>
      <w:proofErr w:type="spellEnd"/>
      <w:r>
        <w:t xml:space="preserve"> együtt tartós, egymást erősítő nyomást jelent. A stratégia ezért nem statikus pillanatképből, hanem a változás irányából indul ki, vezérelve pedig a fenntartható mértékletesség: kevesebb erőforrással nagyobb értékteremtés.</w:t>
      </w:r>
    </w:p>
    <w:p w14:paraId="5CC8E786" w14:textId="77777777" w:rsidR="00A169A1" w:rsidRDefault="00000000" w:rsidP="0093445C">
      <w:pPr>
        <w:spacing w:after="140" w:line="276" w:lineRule="auto"/>
        <w:jc w:val="both"/>
      </w:pPr>
      <w:r>
        <w:t>A stratégia célhierarchiája világos: a versenyképesség az elsődleges gazdasági cél; a válságállóság — és annak dinamikus arca, az alkalmazkodóképesség — ennek rendszerjellemzője; az életképesség a vállalkozási bázis minősége és túlélőképessége; az elégedettség és a boldogság pedig a végső társadalmi kimenet. Mind a négy szintet mérjük.</w:t>
      </w:r>
    </w:p>
    <w:p w14:paraId="2266F83E" w14:textId="77777777" w:rsidR="00A169A1" w:rsidRDefault="00000000" w:rsidP="0093445C">
      <w:pPr>
        <w:spacing w:after="140" w:line="276" w:lineRule="auto"/>
        <w:jc w:val="both"/>
      </w:pPr>
      <w:r>
        <w:t xml:space="preserve">A tízéves célállapot (2036) egy magasabb termelékenységű, </w:t>
      </w:r>
      <w:proofErr w:type="spellStart"/>
      <w:r>
        <w:t>diverzifikáltabb</w:t>
      </w:r>
      <w:proofErr w:type="spellEnd"/>
      <w:r>
        <w:t>, energia- és víztudatosabb, technológiailag fejlettebb, területileg kiegyensúlyozottabb, erősebb hazai vállalati bázisra épülő gazdaság, amely az összeszerelő- és költségalapú versenyből a tudás- és exportképes érték felé mozdul. Az ötéves fordulópont (2031) nem végeredmény, hanem a fordulat igazolása: mérhető javulás a KKV-termelékenységben, a készségekben, az AI-használatban, valamint az export- és energiabiztonságban.</w:t>
      </w:r>
    </w:p>
    <w:p w14:paraId="634E1FF6" w14:textId="77777777" w:rsidR="00A169A1" w:rsidRDefault="00000000" w:rsidP="0093445C">
      <w:pPr>
        <w:spacing w:after="140" w:line="276" w:lineRule="auto"/>
        <w:jc w:val="both"/>
      </w:pPr>
      <w:r>
        <w:t>A stratégia hat fő pillérre és egy kiemelt területre épül: (1) KKV-termelékenység és diverzifikáció; (2) tudás és készségek; (3) technológia, AI és digitális diffúzió; (4) energiafüggetlenség és erőforrás-hatékonyság; (5) víz-, agrár- és klímaadaptáció; (6) területi versenyképesség; valamint kiemelt területként a fejlett gyártás és a kettős felhasználású technológiák. A KKV-dimenzió és az erőforrás-tudatos szemlélet mindegyik pilléren átível.</w:t>
      </w:r>
    </w:p>
    <w:p w14:paraId="472D1E79" w14:textId="77777777" w:rsidR="00A169A1" w:rsidRDefault="00000000" w:rsidP="0093445C">
      <w:pPr>
        <w:spacing w:after="140" w:line="276" w:lineRule="auto"/>
        <w:jc w:val="both"/>
      </w:pPr>
      <w:r>
        <w:t xml:space="preserve">A stratégia EU-konform és </w:t>
      </w:r>
      <w:proofErr w:type="gramStart"/>
      <w:r>
        <w:t>EU-alakító</w:t>
      </w:r>
      <w:proofErr w:type="gramEnd"/>
      <w:r>
        <w:t>: illeszkedik az Unió versenyképességi (</w:t>
      </w:r>
      <w:proofErr w:type="spellStart"/>
      <w:r>
        <w:t>Draghi</w:t>
      </w:r>
      <w:proofErr w:type="spellEnd"/>
      <w:r>
        <w:t xml:space="preserve">-) menetrendjéhez, ugyanakkor — mivel Magyarország is az Unió társalkotója — konstruktív, evidenciaalapú visszajelzéssel részt vesz a szabályozás alakításában is. Finanszírozási logikája a normatív fordulat: a pályázati helyett az átlátható, szabályalapú eszközök előtérbe helyezése, háromrétegű forrásszerkezetben (nemzeti normatív mag, fejlesztési-pénzügyi eszközök, célhoz kötött uniós források). Végrehajtása küldetés-koherens, együttműködésre épülő, központ és küllők intézményi modellre támaszkodik. A végrehajtás minden szintjén vezérelv a rendszerszintű integritás és az átlátható, </w:t>
      </w:r>
      <w:proofErr w:type="spellStart"/>
      <w:r>
        <w:t>adatvezérelt</w:t>
      </w:r>
      <w:proofErr w:type="spellEnd"/>
      <w:r>
        <w:t xml:space="preserve"> irányítás: a korrupció visszaszorítása nem mellékes etikai kérdés, hanem versenyképességi és bizalmi feltétel.</w:t>
      </w:r>
    </w:p>
    <w:p w14:paraId="28F6D655" w14:textId="77777777" w:rsidR="00A169A1" w:rsidRDefault="00000000" w:rsidP="0093445C">
      <w:pPr>
        <w:spacing w:after="60" w:line="276" w:lineRule="auto"/>
        <w:jc w:val="both"/>
      </w:pPr>
      <w:r>
        <w:t>A stratégia két, egymásra épülő dokumentumból áll: a stabil keretet adó Stratégiából és a gyakrabban frissülő operatív intézkedési tervből. Iránya egybeesik az Európai Unió versenyképességi fordulatával és az új kormány EU-</w:t>
      </w:r>
      <w:proofErr w:type="spellStart"/>
      <w:r>
        <w:t>reset</w:t>
      </w:r>
      <w:proofErr w:type="spellEnd"/>
      <w:r>
        <w:t xml:space="preserve"> politikájával.</w:t>
      </w:r>
    </w:p>
    <w:p w14:paraId="20895492" w14:textId="77777777" w:rsidR="00A169A1" w:rsidRDefault="00000000" w:rsidP="0093445C">
      <w:pPr>
        <w:pStyle w:val="Cmsor1"/>
        <w:jc w:val="both"/>
      </w:pPr>
      <w:bookmarkStart w:id="1" w:name="_Toc231682198"/>
      <w:r>
        <w:t>1. Mandátum és alapelvek</w:t>
      </w:r>
      <w:bookmarkEnd w:id="1"/>
    </w:p>
    <w:p w14:paraId="4F7E28C6" w14:textId="77777777" w:rsidR="00A169A1" w:rsidRDefault="00000000" w:rsidP="0093445C">
      <w:pPr>
        <w:spacing w:after="140" w:line="276" w:lineRule="auto"/>
        <w:jc w:val="both"/>
      </w:pPr>
      <w:r>
        <w:lastRenderedPageBreak/>
        <w:t>Ez a dokumentum Magyarország gazdaság- és versenyképesség-fejlesztő stratégiája a 2026–2036-os időhorizontra. Nem programok felsorolása, hanem célállapotokat és képességcélokat meghatározó, végrehajtható keret, amely tízéves célállapotot (2036) és ötéves köztes fordulópontot (2031) jelöl ki. A stratégia gerince egyetlen, következetesen alkalmazott gondolati lánc:</w:t>
      </w:r>
    </w:p>
    <w:tbl>
      <w:tblPr>
        <w:tblW w:w="9752" w:type="dxa"/>
        <w:tblBorders>
          <w:top w:val="single" w:sz="2" w:space="0" w:color="E3EFE5"/>
          <w:left w:val="single" w:sz="26" w:space="0" w:color="C7A14A"/>
          <w:bottom w:val="single" w:sz="2" w:space="0" w:color="E3EFE5"/>
          <w:right w:val="single" w:sz="2" w:space="0" w:color="E3EFE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A169A1" w14:paraId="301B02CA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shd w:val="clear" w:color="auto" w:fill="F2F8F3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35EF1590" w14:textId="77777777" w:rsidR="00A169A1" w:rsidRDefault="00000000" w:rsidP="0093445C">
            <w:pPr>
              <w:spacing w:line="270" w:lineRule="auto"/>
              <w:jc w:val="both"/>
            </w:pPr>
            <w:r>
              <w:rPr>
                <w:b/>
                <w:bCs/>
                <w:color w:val="1E7A34"/>
              </w:rPr>
              <w:t xml:space="preserve">Cél – eszköz – intézmény. </w:t>
            </w:r>
            <w:r>
              <w:t>Minden beavatkozásnál előbb a célt határozzuk meg, azután az eszközt (mindig integrált eszközcsomag, nem egyetlen elszigetelt megoldás), végül a célhoz illeszkedő, küldetés-koherens intézményt. Az eszközt mindig a cél határozza meg — nem fordítva.</w:t>
            </w:r>
          </w:p>
        </w:tc>
      </w:tr>
    </w:tbl>
    <w:p w14:paraId="1746D22E" w14:textId="77777777" w:rsidR="00A169A1" w:rsidRDefault="00A169A1" w:rsidP="0093445C">
      <w:pPr>
        <w:spacing w:after="120"/>
        <w:jc w:val="both"/>
      </w:pPr>
    </w:p>
    <w:p w14:paraId="12F9FD8A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  <w:color w:val="1E7A34"/>
        </w:rPr>
        <w:t xml:space="preserve">A célhierarchia. </w:t>
      </w:r>
      <w:r>
        <w:t>A versenyképesség az elsődleges gazdasági cél; a válságállóság ennek rendszerjellemzője; az életképesség a vállalkozási bázis minősége és túlélőképessége; az elégedettség és a boldogság pedig a végső társadalmi kimenet — nem a napi gazdaságpolitika közvetlen operatív célja, hanem az, amiért az egész működik.</w:t>
      </w:r>
    </w:p>
    <w:p w14:paraId="1B804DE8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Alkalmazkodóképesség. </w:t>
      </w:r>
      <w:r>
        <w:t>A válságállóságnak két arca van: a sokkok kivédése (robusztusság) és a változásokhoz való gyors alkalmazkodás. Egy tartósan változó környezetben az alkalmazkodás sebessége — kiemelten a társadalom és a munkaerő részéről — önálló versenytényező; ezért az alkalmazkodóképesség nem külön pillér, hanem átívelő képesség, amely a tudás- és készségpilléren, a technológiai diffúzión és a tanuló rendszer elvén keresztül él.</w:t>
      </w:r>
    </w:p>
    <w:p w14:paraId="24398EA8" w14:textId="77777777" w:rsidR="00A169A1" w:rsidRDefault="00000000" w:rsidP="0093445C">
      <w:pPr>
        <w:spacing w:after="140" w:line="276" w:lineRule="auto"/>
        <w:jc w:val="both"/>
      </w:pPr>
      <w:r>
        <w:t>A fentiekből következő vezérelvek:</w:t>
      </w:r>
    </w:p>
    <w:p w14:paraId="4F22808C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Célhierarchia, nem eszközlista. </w:t>
      </w:r>
      <w:r>
        <w:t>A stratégia célállapotokat és képességcélokat határoz meg; a végcélokat és a hozzájuk vezető képességcélokat tudatosan elkülöníti.</w:t>
      </w:r>
    </w:p>
    <w:p w14:paraId="79AA5991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proofErr w:type="spellStart"/>
      <w:r>
        <w:rPr>
          <w:b/>
          <w:bCs/>
        </w:rPr>
        <w:t>Átfedésmentes</w:t>
      </w:r>
      <w:proofErr w:type="spellEnd"/>
      <w:r>
        <w:rPr>
          <w:b/>
          <w:bCs/>
        </w:rPr>
        <w:t xml:space="preserve">, mégis teljes lefedés. </w:t>
      </w:r>
      <w:r>
        <w:t>A pillérek nem fedik át egymást, de együtt a teljes problémakört lefedik; minden célhoz mérőszámok és mérföldkövek tartoznak.</w:t>
      </w:r>
    </w:p>
    <w:p w14:paraId="173B004C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Realizmus a finanszírozásban. </w:t>
      </w:r>
      <w:r>
        <w:t>A stratégia a tényleges költségvetési mozgástérrel számol, és a szabályozási egyszerűsítést, a célzott ösztönzőket, a garanciákat, a vegyes finanszírozást, a keresletoldali közbeszerzést és az uniós források célhoz kötött felhasználását kombinálja.</w:t>
      </w:r>
    </w:p>
    <w:p w14:paraId="4D871762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 </w:t>
      </w:r>
      <w:proofErr w:type="gramStart"/>
      <w:r>
        <w:rPr>
          <w:b/>
          <w:bCs/>
        </w:rPr>
        <w:t>KKV</w:t>
      </w:r>
      <w:proofErr w:type="gramEnd"/>
      <w:r>
        <w:rPr>
          <w:b/>
          <w:bCs/>
        </w:rPr>
        <w:t xml:space="preserve"> mint operatív gerinc, az AI mint horizontális gyorsító. </w:t>
      </w:r>
      <w:r>
        <w:t>A KKV-szektor a végrehajtás gerince; a mesterséges intelligencia nem önálló „AI-iparág”, hanem a termelékenységet minden ágazatban emelő horizontális platform.</w:t>
      </w:r>
    </w:p>
    <w:p w14:paraId="5298F82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Erőforrás-tudatos fenntarthatóság. </w:t>
      </w:r>
      <w:r>
        <w:t>Vezérelve a kevesebb erőforrással elért nagyobb értékteremtés; a stratégia az energia-, anyag- és vízfelhasználást is mérlegeli.</w:t>
      </w:r>
    </w:p>
    <w:p w14:paraId="517492B6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Normatív fordulat. </w:t>
      </w:r>
      <w:r>
        <w:t>Ahol lehetséges, a pályázati, diszkrecionális támogatás helyett az átlátható, szabályalapú, normatív eszközök felé mozdulunk — ez egyszerre javítja a versenyképességet és illeszkedik az átláthatósági elvárásokhoz.</w:t>
      </w:r>
    </w:p>
    <w:p w14:paraId="002D1FD8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Kiszámíthatóság és bizalom-helyreállítás. </w:t>
      </w:r>
      <w:r>
        <w:t xml:space="preserve">A kereslet és a vállalkozói kedv kulcsa a bizalom. Az átlátható, éveken át kiszámítható eszközök maguk is bizalomépítő erők — ezért a normatív fordulat nemcsak hatékonysági, hanem bizalom-helyreállítási döntés is. A bizalom a célhierarchia talaja: </w:t>
      </w:r>
      <w:proofErr w:type="spellStart"/>
      <w:r>
        <w:t>nélküle</w:t>
      </w:r>
      <w:proofErr w:type="spellEnd"/>
      <w:r>
        <w:t xml:space="preserve"> a vállalkozási bázis ki sem alakul.</w:t>
      </w:r>
    </w:p>
    <w:p w14:paraId="5E2B5F22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Együttműködés a verseny helyett. </w:t>
      </w:r>
      <w:r>
        <w:t>Az intézményrendszer szereplői kiegészítik, nem kioltják egymást.</w:t>
      </w:r>
    </w:p>
    <w:p w14:paraId="40ED8800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EU-konform és </w:t>
      </w:r>
      <w:proofErr w:type="gramStart"/>
      <w:r>
        <w:rPr>
          <w:b/>
          <w:bCs/>
        </w:rPr>
        <w:t>EU-alakító</w:t>
      </w:r>
      <w:proofErr w:type="gramEnd"/>
      <w:r>
        <w:rPr>
          <w:b/>
          <w:bCs/>
        </w:rPr>
        <w:t xml:space="preserve">, evidenciaalapú megközelítés. </w:t>
      </w:r>
      <w:r>
        <w:t>A stratégia illeszkedik az európai versenyképességi kerethez, és konstruktív, evidenciaalapú visszajelzéssel részt vesz a szabályozás alakításában is, különösen ott, ahol a megvalósíthatóság vagy a versenyképesség ezt indokolja.</w:t>
      </w:r>
    </w:p>
    <w:p w14:paraId="7387386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lastRenderedPageBreak/>
        <w:t xml:space="preserve">Küldetés-koherens intézmények. </w:t>
      </w:r>
      <w:r>
        <w:t>Az intézményi forma a célt követi (társadalmi célú feladat → közhasznú nonprofit; skálázható finanszírozás → fejlesztési-pénzügyi intézmény), központ és küllők logikában.</w:t>
      </w:r>
    </w:p>
    <w:p w14:paraId="258B771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Az állam szabályoz, nem irányít. </w:t>
      </w:r>
      <w:r>
        <w:t>Az állam dolga a jó szabályok, a sztenderdek, a garancia és az elszámoltatás megalkotása; a programok szakmai irányítása (operatív működtetése) nem minisztériumi osztályok vagy állami háttérintézmények feladata, mert a diszkrecionális, átláthatatlan működtetés a visszaélés melegágya. A szabályozót és a végrehajtót szétválasztjuk, az elszámoltathatóságot pedig nyilvánossággal és nyomon követhetőséggel biztosítjuk: jegyzőkönyvezett, közzétett döntésekkel, névre szóló felelősséggel és ellenőrzési nyommal. Ez nem jelent kivonuló államot — az állam továbbra is alkot, finanszíroz, garantál és elszámoltat —, és ugyanezek az átláthatósági és összeférhetetlenségi szabályok a végrehajtó testületekre is vonatkoznak.</w:t>
      </w:r>
    </w:p>
    <w:p w14:paraId="7263DB7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proofErr w:type="gramStart"/>
      <w:r>
        <w:rPr>
          <w:b/>
          <w:bCs/>
        </w:rPr>
        <w:t>Integritás</w:t>
      </w:r>
      <w:proofErr w:type="gramEnd"/>
      <w:r>
        <w:rPr>
          <w:b/>
          <w:bCs/>
        </w:rPr>
        <w:t xml:space="preserve"> mint versenyképességi tényező. </w:t>
      </w:r>
      <w:r>
        <w:t xml:space="preserve">A korrupció visszaszorítása nem mellékes etikai kérdés, hanem rendszerszintű versenyképességi és bizalmi feladat: a kiszámíthatatlan, kapcsolati alapú elosztás drágít, rosszul allokál, erodálja a bizalmat és elűzi a tehetséget. A stratégia ezért az integritást eleve a rendszerbe tervezi — normatív elosztással, a tervezési, kiírási, végrehajtási és ellenőrzési funkciók szétválasztásával, külső, akkreditált értékeléssel és átlátható, </w:t>
      </w:r>
      <w:proofErr w:type="spellStart"/>
      <w:r>
        <w:t>adatvezérelt</w:t>
      </w:r>
      <w:proofErr w:type="spellEnd"/>
      <w:r>
        <w:t xml:space="preserve"> működéssel —, minden pilléren átívelően.</w:t>
      </w:r>
    </w:p>
    <w:p w14:paraId="7BE7033F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Tanuló rendszer. </w:t>
      </w:r>
      <w:r>
        <w:t>A stratégia rendszeres felülvizsgálaton megy keresztül, és a tapasztalatok alapján korrigálható.</w:t>
      </w:r>
    </w:p>
    <w:p w14:paraId="68748FE1" w14:textId="77777777" w:rsidR="00A169A1" w:rsidRDefault="00000000" w:rsidP="0093445C">
      <w:pPr>
        <w:pStyle w:val="Cmsor1"/>
        <w:jc w:val="both"/>
      </w:pPr>
      <w:bookmarkStart w:id="2" w:name="_Toc231682199"/>
      <w:r>
        <w:t>2. Helyzetkép</w:t>
      </w:r>
      <w:bookmarkEnd w:id="2"/>
    </w:p>
    <w:p w14:paraId="5AC09EA7" w14:textId="77777777" w:rsidR="00A169A1" w:rsidRDefault="00000000" w:rsidP="0093445C">
      <w:pPr>
        <w:spacing w:after="140" w:line="276" w:lineRule="auto"/>
        <w:jc w:val="both"/>
      </w:pPr>
      <w:r>
        <w:t>A stratégia friss, hiteles forrásokra (Európai Bizottság, OECD, IMF, KSH, MNB, IEA) épülő, számalapú diagnózisból indul. A részletes adatok a mellékletekbe kerülnek; itt a stratégiai következtetésekhez szükséges kép szerepel.</w:t>
      </w:r>
    </w:p>
    <w:p w14:paraId="2A93466F" w14:textId="77777777" w:rsidR="00A169A1" w:rsidRDefault="00000000" w:rsidP="0093445C">
      <w:pPr>
        <w:pStyle w:val="Cmsor2"/>
        <w:jc w:val="both"/>
      </w:pPr>
      <w:bookmarkStart w:id="3" w:name="_Toc231682200"/>
      <w:r>
        <w:t>2.1 Makrogazdasági keret</w:t>
      </w:r>
      <w:bookmarkEnd w:id="3"/>
    </w:p>
    <w:p w14:paraId="6F01DB06" w14:textId="77777777" w:rsidR="00A169A1" w:rsidRDefault="00000000" w:rsidP="0093445C">
      <w:pPr>
        <w:spacing w:after="140" w:line="276" w:lineRule="auto"/>
        <w:jc w:val="both"/>
      </w:pPr>
      <w:r>
        <w:t xml:space="preserve">Három gyenge év után a magyar gazdaság 2026-ban kezdhet élénkülni (az előrejelzések 1,7–1,9% körül mozognak), de a kockázatok </w:t>
      </w:r>
      <w:proofErr w:type="spellStart"/>
      <w:r>
        <w:t>jelentősek</w:t>
      </w:r>
      <w:proofErr w:type="spellEnd"/>
      <w:r>
        <w:t>. A költségvetési hiány magas (2024-ben 5,0%, 2026-ra a Bizottság 6% feletti értéket vár), az államadósság 74% körül alakul, az állampapír-hozamfelárak pedig az EU-ban a legmagasabbak között vannak, közel 6%-os tényleges kamatteherrel. Mindez szűkíti a tisztán támogatásalapú gazdaságpolitika mozgásterét, és önmagában is a normatív, költséghatékony eszközök felé mutat.</w:t>
      </w:r>
    </w:p>
    <w:p w14:paraId="353C790E" w14:textId="77777777" w:rsidR="00A169A1" w:rsidRDefault="00000000" w:rsidP="0093445C">
      <w:pPr>
        <w:pStyle w:val="Cmsor2"/>
        <w:jc w:val="both"/>
      </w:pPr>
      <w:bookmarkStart w:id="4" w:name="_Toc231682201"/>
      <w:r>
        <w:t>2.2 Termelékenység és KKV-szerkezet</w:t>
      </w:r>
      <w:bookmarkEnd w:id="4"/>
    </w:p>
    <w:p w14:paraId="6BFCDBEF" w14:textId="77777777" w:rsidR="00A169A1" w:rsidRDefault="00000000" w:rsidP="0093445C">
      <w:pPr>
        <w:spacing w:after="140" w:line="276" w:lineRule="auto"/>
        <w:jc w:val="both"/>
      </w:pPr>
      <w:r>
        <w:t xml:space="preserve">A növekedés fő korlátja a termelékenység. A KKV-k egy foglalkoztatottra jutó hozzáadott értéke a nagyvállalati szint mintegy harmadát, az uniós átlagnak nagyjából a felét éri el. A szektor ugyanakkor meghatározó: 2024 végén több mint 700 ezer KKV működött (a vállalkozások 99,9%-a), a foglalkoztatás mintegy 70%-át és a hozzáadott érték közel 57%-át adva, miközben a KKV-k reál hozzáadott értéke 2024-ben csökkent. A vállalati bázis erősen </w:t>
      </w:r>
      <w:proofErr w:type="spellStart"/>
      <w:r>
        <w:t>mikrovállalkozás</w:t>
      </w:r>
      <w:proofErr w:type="spellEnd"/>
      <w:r>
        <w:t>-túlsúlyos, az export koncentrált. A magyar probléma tehát nem vállalkozásszám-, hanem minőség-, termelékenység- és alkalmazkodóképesség-hiány.</w:t>
      </w:r>
    </w:p>
    <w:p w14:paraId="5E8E5576" w14:textId="77777777" w:rsidR="00A169A1" w:rsidRDefault="00000000" w:rsidP="0093445C">
      <w:pPr>
        <w:pStyle w:val="Cmsor2"/>
        <w:jc w:val="both"/>
      </w:pPr>
      <w:bookmarkStart w:id="5" w:name="_Toc231682202"/>
      <w:r>
        <w:t>2.3 Tudás, innováció és digitalizáció</w:t>
      </w:r>
      <w:bookmarkEnd w:id="5"/>
    </w:p>
    <w:p w14:paraId="1571709A" w14:textId="77777777" w:rsidR="00A169A1" w:rsidRDefault="00000000" w:rsidP="0093445C">
      <w:pPr>
        <w:spacing w:after="140" w:line="276" w:lineRule="auto"/>
        <w:jc w:val="both"/>
      </w:pPr>
      <w:r>
        <w:t>A felzárkózás másik korlátja a humán és innovációs oldal. A köz- és vállalati K+F-ráfordítás az uniós átlag alatt van; a felnőtt lakosság digitális alapkészségei és a fiatal korosztály felsőfokú végzettségi aránya elmarad az EU-átlagtól. Ez közvetlenül látszik az AI-adaptációban: 2025-ben a 10 fő feletti magyar vállalkozások mintegy 10%-</w:t>
      </w:r>
      <w:r>
        <w:lastRenderedPageBreak/>
        <w:t>a használt AI-technológiát, szemben a 20%-os uniós átlaggal. A digitális infrastruktúra ugyanakkor viszonylag jó — a gát nem hálózati, hanem készség- és alkalmazásoldali.</w:t>
      </w:r>
    </w:p>
    <w:p w14:paraId="3BF98A87" w14:textId="77777777" w:rsidR="00A169A1" w:rsidRDefault="00000000" w:rsidP="0093445C">
      <w:pPr>
        <w:pStyle w:val="Cmsor2"/>
        <w:jc w:val="both"/>
      </w:pPr>
      <w:bookmarkStart w:id="6" w:name="_Toc231682203"/>
      <w:r>
        <w:t>2.4 Energia, víz és klíma</w:t>
      </w:r>
      <w:bookmarkEnd w:id="6"/>
    </w:p>
    <w:p w14:paraId="6F443AED" w14:textId="77777777" w:rsidR="00A169A1" w:rsidRDefault="00000000" w:rsidP="0093445C">
      <w:pPr>
        <w:spacing w:after="140" w:line="276" w:lineRule="auto"/>
        <w:jc w:val="both"/>
      </w:pPr>
      <w:r>
        <w:t>Az energia versenyképességi tényező: a primerenergia mintegy háromnegyede import, az ipari áram ára pedig az EU egyik legmagasabbja, ami közvetlenül terheli a feldolgozóipart és a KKV-kat. A napenergia gyors térnyerése (2024-ben a villamosenergia-termelés közel negyede) jó kiindulópont, de a rendszerintegráció és a tárolás még hátravan. Párhuzamosan a Kárpát-medence klíma- és vízválsága súlyosbodik: 2025-ben több százezer hektárt sújtott aszálykár, az ország területének túlnyomó része aszályveszélyeztetett — ez az agrárium és az élelmiszerláncok tartós kockázata.</w:t>
      </w:r>
    </w:p>
    <w:p w14:paraId="279586CB" w14:textId="77777777" w:rsidR="00A169A1" w:rsidRDefault="00000000" w:rsidP="0093445C">
      <w:pPr>
        <w:pStyle w:val="Cmsor2"/>
        <w:jc w:val="both"/>
      </w:pPr>
      <w:bookmarkStart w:id="7" w:name="_Toc231682204"/>
      <w:r>
        <w:t>2.5 Geopolitika és a szűkülő mozgástér</w:t>
      </w:r>
      <w:bookmarkEnd w:id="7"/>
    </w:p>
    <w:p w14:paraId="2E60D46B" w14:textId="77777777" w:rsidR="00A169A1" w:rsidRDefault="00000000" w:rsidP="0093445C">
      <w:pPr>
        <w:spacing w:after="140" w:line="276" w:lineRule="auto"/>
        <w:jc w:val="both"/>
      </w:pPr>
      <w:r>
        <w:t>Magyarország kis, nyitott, exportfüggő gazdaság, erős jármű- és akkumulátoripari koncentrációval — ami egyszerre lehetőség (szövetséges országokba települő termelés) és kitettség (technológiai és kritikus nyersanyag-függés). A globális ellátási láncok átrendeződése, a kritikus nyersanyagok szűkössége és a magas energiaárak együtt egy szűkülő mozgásteret rajzolnak ki. Ezek nem különálló problémák, hanem ugyanannak a rendszernek a tünetei; a stratégia ezért integrált termelékenységi–</w:t>
      </w:r>
      <w:proofErr w:type="spellStart"/>
      <w:r>
        <w:t>reziliencia</w:t>
      </w:r>
      <w:proofErr w:type="spellEnd"/>
      <w:r>
        <w:t>–alkalmazkodási keretként kezeli őket. Kedvező fejlemény, hogy 2026-ban a befagyasztott uniós források jelentős része feloldódott — ez azonban részben időhöz kötött, ezért a tartós, normatív rendszert nem szabad egyszeri forrásokra építeni.</w:t>
      </w:r>
    </w:p>
    <w:p w14:paraId="53C1C8F6" w14:textId="77777777" w:rsidR="00A169A1" w:rsidRDefault="00000000" w:rsidP="0093445C">
      <w:pPr>
        <w:pStyle w:val="Cmsor2"/>
        <w:jc w:val="both"/>
      </w:pPr>
      <w:bookmarkStart w:id="8" w:name="_Toc231682205"/>
      <w:r>
        <w:t>2.6 Kereslet, bizalom és vállalkozói kedv</w:t>
      </w:r>
      <w:bookmarkEnd w:id="8"/>
    </w:p>
    <w:p w14:paraId="4C477922" w14:textId="77777777" w:rsidR="00A169A1" w:rsidRDefault="00000000" w:rsidP="0093445C">
      <w:pPr>
        <w:spacing w:after="140" w:line="276" w:lineRule="auto"/>
        <w:jc w:val="both"/>
      </w:pPr>
      <w:r>
        <w:t>A felzárkózás egyik legkomolyabb, de gyakran alulértékelt gátja nem kínálati, hanem keresleti és bizalmi természetű. Az Európai Bizottság 2026-os értékelése a gyenge beruházás és növekedés egyik fő okaként a bizonytalan üzleti és szakpolitikai környezetet nevezi meg; a kiszámíthatatlan szabályozás és a diszkrecionális, kapcsolati alapú forráselosztás évek alatt erodálta a gazdaságba és az intézményekbe vetett bizalmat.</w:t>
      </w:r>
    </w:p>
    <w:p w14:paraId="6CFED92D" w14:textId="77777777" w:rsidR="00A169A1" w:rsidRDefault="00000000" w:rsidP="0093445C">
      <w:pPr>
        <w:spacing w:after="140" w:line="276" w:lineRule="auto"/>
        <w:jc w:val="both"/>
      </w:pPr>
      <w:r>
        <w:t>Ennek emberi következménye súlyos: egy kezdő vállalkozó számára a nyereségesség elérése gyakran reménytelennek tűnik — a kezdeti, veszteséges „halálvölgy” átvészeléséhez szükséges tőke és kitartás hiányában a fiatalok inkább a biztos alkalmazotti létet vagy a külföldi munkavállalást választják. Ez a vállalkozói bázis elöregedéséhez, az innovációs potenciál és a generációs megújulás elvesztéséhez vezet. A kereslet- és bizalomhiány tehát nem hangulati kérdés, hanem strukturális versenyképességi probléma, amelyre a stratégiának választ kell adnia.</w:t>
      </w:r>
    </w:p>
    <w:p w14:paraId="07DE8CA9" w14:textId="77777777" w:rsidR="00A169A1" w:rsidRDefault="00000000" w:rsidP="0093445C">
      <w:pPr>
        <w:pStyle w:val="Cmsor1"/>
        <w:jc w:val="both"/>
      </w:pPr>
      <w:bookmarkStart w:id="9" w:name="_Toc231682206"/>
      <w:r>
        <w:t>3. Jövőkép és célhierarchia</w:t>
      </w:r>
      <w:bookmarkEnd w:id="9"/>
    </w:p>
    <w:p w14:paraId="7FC6E5DD" w14:textId="77777777" w:rsidR="00A169A1" w:rsidRDefault="00000000" w:rsidP="0093445C">
      <w:pPr>
        <w:spacing w:after="140" w:line="276" w:lineRule="auto"/>
        <w:jc w:val="both"/>
      </w:pPr>
      <w:r>
        <w:t>Mielőtt a célállapotot kijelölnénk, tisztázni kell, mit értünk versenyképességen — különben a cél megfoghatatlan marad, és jogos a kérdés: mitől leszünk tőle versenyképesebbek?</w:t>
      </w:r>
    </w:p>
    <w:tbl>
      <w:tblPr>
        <w:tblW w:w="9752" w:type="dxa"/>
        <w:tblBorders>
          <w:top w:val="single" w:sz="2" w:space="0" w:color="E3EFE5"/>
          <w:left w:val="single" w:sz="26" w:space="0" w:color="C7A14A"/>
          <w:bottom w:val="single" w:sz="2" w:space="0" w:color="E3EFE5"/>
          <w:right w:val="single" w:sz="2" w:space="0" w:color="E3EFE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A169A1" w14:paraId="58DCDCBD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shd w:val="clear" w:color="auto" w:fill="F2F8F3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0C6D5184" w14:textId="77777777" w:rsidR="00A169A1" w:rsidRDefault="00000000" w:rsidP="0093445C">
            <w:pPr>
              <w:spacing w:line="270" w:lineRule="auto"/>
              <w:jc w:val="both"/>
            </w:pPr>
            <w:r>
              <w:rPr>
                <w:b/>
                <w:bCs/>
                <w:color w:val="1E7A34"/>
              </w:rPr>
              <w:t xml:space="preserve">Vállalati versenyképesség. </w:t>
            </w:r>
            <w:r>
              <w:t>A vállalat kompetenciáinak, működési jellemzőinek és tulajdonságainak összessége, amely lehetővé teszi, hogy tartósan és jövedelmezően állítson elő olyan termékeket és szolgáltatásokat, amelyek árban és minőségben kielégítik a vásárlók jelenlegi és jövőbeli igényeit, miközben megőrzi vagy növeli piaci pozícióját.</w:t>
            </w:r>
            <w:r>
              <w:rPr>
                <w:b/>
                <w:bCs/>
                <w:color w:val="1E7A34"/>
              </w:rPr>
              <w:br/>
            </w:r>
            <w:r>
              <w:rPr>
                <w:b/>
                <w:bCs/>
                <w:color w:val="1E7A34"/>
              </w:rPr>
              <w:br/>
              <w:t xml:space="preserve">Nemzetgazdasági versenyképesség. </w:t>
            </w:r>
            <w:r>
              <w:t xml:space="preserve">A gazdaság azon kompetenciáinak, szerkezeti jellemzőinek és intézményeinek összessége, amely lehetővé teszi, hogy tartósan, magas hozzáadott értékkel állítson elő </w:t>
            </w:r>
            <w:r>
              <w:lastRenderedPageBreak/>
              <w:t>a nemzetközi piacokon is helytálló termékeket és szolgáltatásokat — miközben emeli a lakosság életszínvonalát, és képes alkalmazkodni a változó feltételekhez.</w:t>
            </w:r>
          </w:p>
        </w:tc>
      </w:tr>
    </w:tbl>
    <w:p w14:paraId="2C0D29CF" w14:textId="77777777" w:rsidR="00A169A1" w:rsidRDefault="00000000" w:rsidP="0093445C">
      <w:pPr>
        <w:spacing w:after="140" w:line="276" w:lineRule="auto"/>
        <w:jc w:val="both"/>
      </w:pPr>
      <w:r>
        <w:lastRenderedPageBreak/>
        <w:t xml:space="preserve">A versenyképesség lényege </w:t>
      </w:r>
      <w:proofErr w:type="spellStart"/>
      <w:r>
        <w:t>előretekintő</w:t>
      </w:r>
      <w:proofErr w:type="spellEnd"/>
      <w:r>
        <w:t xml:space="preserve">: a ma meglévő kompetenciák teszik lehetővé a jövőbeli helytállást és megfelelést. Ezért minden, ami ezeket a kompetenciákat építi vagy fenntartja — a tudás, a technológia, a folyamatok, a vezetés, a finanszírozás és a válságtűrés —, a versenyképességet erősíti. Ebből következik a célhierarchia is: a jövőbeli helytállás feltételezi a válságállóságot és az alkalmazkodóképességet (a versenyképesség dinamikus arca), a vállalati szintű életképesség annak </w:t>
      </w:r>
      <w:proofErr w:type="spellStart"/>
      <w:r>
        <w:t>mikroszintű</w:t>
      </w:r>
      <w:proofErr w:type="spellEnd"/>
      <w:r>
        <w:t xml:space="preserve"> alapja, a jóllét a végső kimenet, a bizalom pedig a talaj, amely nélkül a kompetenciákba senki nem fektet be.</w:t>
      </w:r>
    </w:p>
    <w:p w14:paraId="1009BA4D" w14:textId="77777777" w:rsidR="00A169A1" w:rsidRDefault="00000000" w:rsidP="0093445C">
      <w:pPr>
        <w:spacing w:after="140" w:line="276" w:lineRule="auto"/>
        <w:jc w:val="both"/>
      </w:pPr>
      <w:r>
        <w:t>Egy fontos megkötés: a vállalati kompetenciák csak akkor fordulnak át nemzetgazdasági versenyképességbe, ha termelékenységi és tovaterjedési (diffúziós) csatornákon hatnak. Attól, hogy sok vállalkozás kap támogatást, önmagában még nem nő a nemzet versenyképessége — akkor nő, ha a beavatkozások valódi termelékenység-, tanulás- és tovaterjedési hatást váltanak ki (a legerősebb bizonyított csatorna a menedzsment- és szervezeti képesség javulása). Ezért méri a stratégia a tényleges hatást, nem a támogatott darabszámot.</w:t>
      </w:r>
    </w:p>
    <w:p w14:paraId="603CD61E" w14:textId="77777777" w:rsidR="00A169A1" w:rsidRDefault="00000000" w:rsidP="0093445C">
      <w:pPr>
        <w:pStyle w:val="Cmsor2"/>
        <w:jc w:val="both"/>
      </w:pPr>
      <w:bookmarkStart w:id="10" w:name="_Toc231682207"/>
      <w:r>
        <w:t>3.1 Tízéves célállapot (2036)</w:t>
      </w:r>
      <w:bookmarkEnd w:id="10"/>
    </w:p>
    <w:p w14:paraId="18EF14F1" w14:textId="77777777" w:rsidR="00A169A1" w:rsidRDefault="00000000" w:rsidP="0093445C">
      <w:pPr>
        <w:spacing w:after="140" w:line="276" w:lineRule="auto"/>
        <w:jc w:val="both"/>
      </w:pPr>
      <w:r>
        <w:t xml:space="preserve">A stratégia tízéves célállapota néhány világos állításban: Magyarország 2036-ra legyen magasabb termelékenységű, </w:t>
      </w:r>
      <w:proofErr w:type="spellStart"/>
      <w:r>
        <w:t>diverzifikáltabb</w:t>
      </w:r>
      <w:proofErr w:type="spellEnd"/>
      <w:r>
        <w:t>, kevesebb külső energia- és vízsérülékenységgel működő, technológiailag fejlettebb (az AI-t széles körben, gyakorlatban használó), klímaadaptív, területileg kiegyensúlyozottabb gazdaság, amely erősebb hazai vállalati bázisra épül, és az összeszerelő-, költségalapú versenyből a magasabb hozzáadott értékű, tudás- és exportképes KKV-ökoszisztéma felé mozdul. A vállalkozói és társadalmi jóllét ennek mért kimenete, nem kommunikációs díszlet.</w:t>
      </w:r>
    </w:p>
    <w:p w14:paraId="27032570" w14:textId="77777777" w:rsidR="00A169A1" w:rsidRDefault="00000000" w:rsidP="0093445C">
      <w:pPr>
        <w:pStyle w:val="Cmsor2"/>
        <w:jc w:val="both"/>
      </w:pPr>
      <w:bookmarkStart w:id="11" w:name="_Toc231682208"/>
      <w:r>
        <w:t>3.2 Ötéves fordulópont (2031)</w:t>
      </w:r>
      <w:bookmarkEnd w:id="11"/>
    </w:p>
    <w:p w14:paraId="3EC002E5" w14:textId="77777777" w:rsidR="00A169A1" w:rsidRDefault="00000000" w:rsidP="0093445C">
      <w:pPr>
        <w:spacing w:after="140" w:line="276" w:lineRule="auto"/>
        <w:jc w:val="both"/>
      </w:pPr>
      <w:r>
        <w:t>Az ötéves köztes állapot nem végeredményeket, hanem a fordulat bizonyítékait rögzíti: kimutatható javulás a KKV-termelékenységben és -méretszerkezetben, a készség- és innovációs mutatókban, az AI-használatban, az exportdiverzifikációban, valamint az energia- és vízellenálló képességben; a területi különbségek szétnyílásának lassulása; és egy működő nemzeti KKV-termelékenységi és AI-alkalmazási rendszer, stabil végrehajtó intézményi háttérrel.</w:t>
      </w:r>
    </w:p>
    <w:p w14:paraId="673BD06C" w14:textId="77777777" w:rsidR="00A169A1" w:rsidRDefault="00000000" w:rsidP="0093445C">
      <w:pPr>
        <w:pStyle w:val="Cmsor2"/>
        <w:jc w:val="both"/>
      </w:pPr>
      <w:bookmarkStart w:id="12" w:name="_Toc231682209"/>
      <w:r>
        <w:t>3.3 A célhierarchia és a mérés</w:t>
      </w:r>
      <w:bookmarkEnd w:id="12"/>
    </w:p>
    <w:p w14:paraId="7CB7B924" w14:textId="77777777" w:rsidR="00A169A1" w:rsidRDefault="00000000" w:rsidP="0093445C">
      <w:pPr>
        <w:spacing w:after="140" w:line="276" w:lineRule="auto"/>
        <w:jc w:val="both"/>
      </w:pPr>
      <w:r>
        <w:t xml:space="preserve">A célhierarchia adja a mérés logikáját is. A versenyképességet és az életképességet gazdasági mutatókkal (termelékenység, hozzáadott érték, méretnövekedés, exportképesség, túlélési ráta) mérjük; a válságállóságot és az alkalmazkodóképességet rendszermutatókkal (kitettség- és függőségcsökkenés, helyettesíthetőség, </w:t>
      </w:r>
      <w:proofErr w:type="spellStart"/>
      <w:r>
        <w:t>újraképzési</w:t>
      </w:r>
      <w:proofErr w:type="spellEnd"/>
      <w:r>
        <w:t xml:space="preserve"> ráta); az elégedettséget és a boldogságot pedig jóllét-indikátorokkal. A végcélokat (a kívánt állapot) és a képességcélokat (az oda vezető képesség) tudatosan elkülönítjük.</w:t>
      </w:r>
    </w:p>
    <w:p w14:paraId="2F468839" w14:textId="77777777" w:rsidR="00A169A1" w:rsidRDefault="00000000" w:rsidP="0093445C">
      <w:pPr>
        <w:spacing w:after="140" w:line="276" w:lineRule="auto"/>
        <w:jc w:val="both"/>
      </w:pPr>
      <w:r>
        <w:t>A célhierarchia talaja a bizalom. A gazdaságba, az intézményekbe és a vállalkozás életképességébe vetett bizalom az a feltétel, amely nélkül a többi szint nem épül fel; ezért a stratégia a bizalmat és a vállalkozói kedvet is méri (például vállalkozói szándék, túlélési ráta, hazatérési arány, beruházási hajlandóság), és minden pillér eszközeit úgy alakítja, hogy azok a kiszámíthatóságot és a bizalmat is erősítsék.</w:t>
      </w:r>
    </w:p>
    <w:p w14:paraId="3FE4CD25" w14:textId="77777777" w:rsidR="00A169A1" w:rsidRDefault="00000000" w:rsidP="0093445C">
      <w:pPr>
        <w:pStyle w:val="Cmsor2"/>
        <w:jc w:val="both"/>
      </w:pPr>
      <w:bookmarkStart w:id="13" w:name="_Toc231682210"/>
      <w:r>
        <w:t>3.4 Köztes mérföldkövek</w:t>
      </w:r>
      <w:bookmarkEnd w:id="13"/>
    </w:p>
    <w:p w14:paraId="479EE77F" w14:textId="77777777" w:rsidR="00A169A1" w:rsidRDefault="00000000" w:rsidP="0093445C">
      <w:pPr>
        <w:spacing w:after="60" w:line="276" w:lineRule="auto"/>
        <w:jc w:val="both"/>
      </w:pPr>
      <w:r>
        <w:lastRenderedPageBreak/>
        <w:t>A 2031-es fordulópont és a 2036-os célállapot között a stratégiát éves eredménytábla, kétévenkénti mélyfelülvizsgálat és ötévenkénti korrekció kíséri. A részletes indikátorrendszer a 8. fejezetben (Monitoring és értékelés) és a mellékletekben szerepel.</w:t>
      </w:r>
    </w:p>
    <w:p w14:paraId="3623D1EC" w14:textId="77777777" w:rsidR="00A169A1" w:rsidRDefault="00000000" w:rsidP="0093445C">
      <w:pPr>
        <w:pStyle w:val="Cmsor1"/>
        <w:jc w:val="both"/>
      </w:pPr>
      <w:bookmarkStart w:id="14" w:name="_Toc231682211"/>
      <w:r>
        <w:t>4. Stratégiai pillérek</w:t>
      </w:r>
      <w:bookmarkEnd w:id="14"/>
    </w:p>
    <w:p w14:paraId="17391BF6" w14:textId="77777777" w:rsidR="00A169A1" w:rsidRDefault="00000000" w:rsidP="0093445C">
      <w:pPr>
        <w:spacing w:after="140" w:line="276" w:lineRule="auto"/>
        <w:jc w:val="both"/>
      </w:pPr>
      <w:r>
        <w:t>A stratégia hat fő pillérre és egy kiemelt területre épül; mindegyik azonos szerkezetet (egységes pillérsablon) követ: helyzet és SWOT → forgatókönyvek (A/B/C) → cél → eszköz → intézmény → KPI-k és mérföldkövek. Az alábbiakban az első pillér kidolgozása következik; a többi pillér ugyanezt a sablont követi.</w:t>
      </w:r>
    </w:p>
    <w:tbl>
      <w:tblPr>
        <w:tblW w:w="9752" w:type="dxa"/>
        <w:tblBorders>
          <w:top w:val="single" w:sz="2" w:space="0" w:color="E3EFE5"/>
          <w:left w:val="single" w:sz="26" w:space="0" w:color="C7A14A"/>
          <w:bottom w:val="single" w:sz="2" w:space="0" w:color="E3EFE5"/>
          <w:right w:val="single" w:sz="2" w:space="0" w:color="E3EFE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A169A1" w14:paraId="60BE39DD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shd w:val="clear" w:color="auto" w:fill="F2F8F3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04F25BF3" w14:textId="77777777" w:rsidR="00A169A1" w:rsidRDefault="00000000" w:rsidP="0093445C">
            <w:pPr>
              <w:spacing w:line="270" w:lineRule="auto"/>
              <w:jc w:val="both"/>
            </w:pPr>
            <w:r>
              <w:rPr>
                <w:b/>
                <w:bCs/>
                <w:color w:val="1E7A34"/>
              </w:rPr>
              <w:t xml:space="preserve">Mitől leszünk versenyképesebbek? </w:t>
            </w:r>
            <w:r>
              <w:t>A válasz a kompetenciákban van: minden pillér egy-egy olyan képességet épít, amely a jövőbeli helytálláshoz kell. Tudás és készségek → humán erőforrás és tudástőke; technológia és AI-diffúzió → korszerű eszközök, innováció, fejlesztés; KKV-termelékenység és méretnövekedés → folyamatok, termelékenység, minőség; energia, víz és klímaadaptáció → költség- és erőforrás-rugalmasság, fenntarthatóság; finanszírozási kontinuum → pénzügyi erőforrás; normatív fordulat és integritás → a bizalom, amely nélkül a befektetések elmaradnak. Vagyis nem ígéretet teszünk a versenyképességre, hanem azokat a kompetenciákat építjük, amelyekből áll.</w:t>
            </w:r>
          </w:p>
        </w:tc>
      </w:tr>
    </w:tbl>
    <w:p w14:paraId="7CBEC326" w14:textId="77777777" w:rsidR="00A169A1" w:rsidRDefault="00000000" w:rsidP="0093445C">
      <w:pPr>
        <w:pStyle w:val="Cmsor2"/>
        <w:jc w:val="both"/>
      </w:pPr>
      <w:bookmarkStart w:id="15" w:name="_Toc231682212"/>
      <w:r>
        <w:t>4.1 Első pillér — KKV-termelékenység, méretnövekedés és értéklánc-diverzifikáció</w:t>
      </w:r>
      <w:bookmarkEnd w:id="15"/>
    </w:p>
    <w:p w14:paraId="3D519047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Helyzet és SWOT</w:t>
      </w:r>
    </w:p>
    <w:p w14:paraId="7D18B6DA" w14:textId="77777777" w:rsidR="00A169A1" w:rsidRDefault="00000000" w:rsidP="0093445C">
      <w:pPr>
        <w:spacing w:after="140" w:line="276" w:lineRule="auto"/>
        <w:jc w:val="both"/>
      </w:pPr>
      <w:r>
        <w:t xml:space="preserve">A KKV-szektor a foglalkoztatás mintegy 70%-át és a hozzáadott érték közel 57%-át adja, mégis erősen </w:t>
      </w:r>
      <w:proofErr w:type="spellStart"/>
      <w:r>
        <w:t>mikrovállalkozás</w:t>
      </w:r>
      <w:proofErr w:type="spellEnd"/>
      <w:r>
        <w:t xml:space="preserve">-túlsúlyos, termelékenysége az uniós átlag fele körül van, és reál hozzáadott értéke 2024-ben csökkent. A növekedés három korlátja összekapcsolódik: a finanszírozási rés (a fedezet nélküli, nem bankképes vállalkozások kiszorulása), a menedzsment- és méretkorlát (a </w:t>
      </w:r>
      <w:proofErr w:type="spellStart"/>
      <w:r>
        <w:t>skálázódás</w:t>
      </w:r>
      <w:proofErr w:type="spellEnd"/>
      <w:r>
        <w:t xml:space="preserve"> és a középvállalattá lépés hiánya), valamint a kereslet- és bizalomhiány. A szektor generációs megújulása is veszélyben: a fiatalok jelentős része az alkalmazotti létet vagy a külföldi munkavállalást választja.</w:t>
      </w:r>
    </w:p>
    <w:p w14:paraId="382BB8D7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Erősségek. </w:t>
      </w:r>
      <w:r>
        <w:t xml:space="preserve">nagy vállalkozói bázis; exportjelenlét egyes szegmensekben; több évtizedes, EU-szinten elismert </w:t>
      </w:r>
      <w:proofErr w:type="spellStart"/>
      <w:r>
        <w:t>mikrofinanszírozási</w:t>
      </w:r>
      <w:proofErr w:type="spellEnd"/>
      <w:r>
        <w:t xml:space="preserve"> és vállalkozásfejlesztési tudás; jó digitális infrastruktúra.</w:t>
      </w:r>
    </w:p>
    <w:p w14:paraId="005EDC76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Gyengeségek. </w:t>
      </w:r>
      <w:r>
        <w:t xml:space="preserve">alacsony termelékenység; </w:t>
      </w:r>
      <w:proofErr w:type="spellStart"/>
      <w:proofErr w:type="gramStart"/>
      <w:r>
        <w:t>mikro</w:t>
      </w:r>
      <w:proofErr w:type="spellEnd"/>
      <w:r>
        <w:t>-szétaprózottság</w:t>
      </w:r>
      <w:proofErr w:type="gramEnd"/>
      <w:r>
        <w:t>; gyenge menedzsment- és skálázási képesség; fedezethiányos finanszírozási rés; alacsony bizalom és vállalkozói kedv.</w:t>
      </w:r>
    </w:p>
    <w:p w14:paraId="523C51DD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Lehetőségek. </w:t>
      </w:r>
      <w:r>
        <w:t>EIF-kezesség és vegyes finanszírozás; normatív, kiszámítható eszközök; AI-vezérelt termelékenységjavulás; a fiatalok és a hazatérők aktiválása; körforgásos réspiacok; feloldott uniós források.</w:t>
      </w:r>
    </w:p>
    <w:p w14:paraId="6F1D7190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Veszélyek. </w:t>
      </w:r>
      <w:r>
        <w:t>folytatódó elvándorlás és a bázis elöregedése; pangó kereslet; szűk költségvetési mozgástér; technológiai és nyersanyagfüggés; az egyszeri forrásokra épített rendszer csapdája.</w:t>
      </w:r>
    </w:p>
    <w:p w14:paraId="579A8737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Forgatókönyvek</w:t>
      </w:r>
    </w:p>
    <w:p w14:paraId="5E422404" w14:textId="77777777" w:rsidR="00A169A1" w:rsidRDefault="00000000" w:rsidP="0093445C">
      <w:pPr>
        <w:spacing w:after="140" w:line="276" w:lineRule="auto"/>
        <w:jc w:val="both"/>
      </w:pPr>
      <w:r>
        <w:t>A pillér három forgatókönyvvel számol, a változás mértéke, idősávja és valószínűsége szerint: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4150"/>
        <w:gridCol w:w="1500"/>
        <w:gridCol w:w="1300"/>
        <w:gridCol w:w="1302"/>
      </w:tblGrid>
      <w:tr w:rsidR="00A169A1" w14:paraId="3CF9113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A6CA1E5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8"/>
                <w:szCs w:val="18"/>
              </w:rPr>
              <w:t>Forgatókönyv</w:t>
            </w:r>
          </w:p>
        </w:tc>
        <w:tc>
          <w:tcPr>
            <w:tcW w:w="4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48B8C02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8"/>
                <w:szCs w:val="18"/>
              </w:rPr>
              <w:t>Lényege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886FCF3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8"/>
                <w:szCs w:val="18"/>
              </w:rPr>
              <w:t>Kockázat</w:t>
            </w:r>
          </w:p>
        </w:tc>
        <w:tc>
          <w:tcPr>
            <w:tcW w:w="13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DA2B00D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8"/>
                <w:szCs w:val="18"/>
              </w:rPr>
              <w:t>Idősáv</w:t>
            </w:r>
          </w:p>
        </w:tc>
        <w:tc>
          <w:tcPr>
            <w:tcW w:w="13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54897EC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8"/>
                <w:szCs w:val="18"/>
              </w:rPr>
              <w:t>Valószínűség</w:t>
            </w:r>
          </w:p>
        </w:tc>
      </w:tr>
      <w:tr w:rsidR="00A169A1" w14:paraId="2226C5D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A16A567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b/>
                <w:bCs/>
                <w:color w:val="1E7A34"/>
                <w:sz w:val="17"/>
                <w:szCs w:val="17"/>
              </w:rPr>
              <w:t>A — Fordulat</w:t>
            </w:r>
          </w:p>
        </w:tc>
        <w:tc>
          <w:tcPr>
            <w:tcW w:w="4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1D43743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Az integrált csomag, a normatív fordulat és a bizalom-helyreállítás együtt hat: emelkedő KKV-termelékenység, több méretlépő vállalkozás, hazatérési beáramlás.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558CCD3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Nagy, kedvező</w:t>
            </w:r>
          </w:p>
        </w:tc>
        <w:tc>
          <w:tcPr>
            <w:tcW w:w="13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AB67912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2026–2031 indul, 2036-ra érik</w:t>
            </w:r>
          </w:p>
        </w:tc>
        <w:tc>
          <w:tcPr>
            <w:tcW w:w="13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54F66C8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közepes (a végrehajtáson múlik)</w:t>
            </w:r>
          </w:p>
        </w:tc>
      </w:tr>
      <w:tr w:rsidR="00A169A1" w14:paraId="4525EDA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47FE7D9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b/>
                <w:bCs/>
                <w:color w:val="1E7A34"/>
                <w:sz w:val="17"/>
                <w:szCs w:val="17"/>
              </w:rPr>
              <w:t>B — Tehetetlenségi</w:t>
            </w:r>
          </w:p>
        </w:tc>
        <w:tc>
          <w:tcPr>
            <w:tcW w:w="4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9EE5282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 xml:space="preserve">Részleges intézkedések, lassú javulás, tartós </w:t>
            </w:r>
            <w:proofErr w:type="spellStart"/>
            <w:proofErr w:type="gramStart"/>
            <w:r>
              <w:rPr>
                <w:sz w:val="17"/>
                <w:szCs w:val="17"/>
              </w:rPr>
              <w:t>mikro</w:t>
            </w:r>
            <w:proofErr w:type="spellEnd"/>
            <w:r>
              <w:rPr>
                <w:sz w:val="17"/>
                <w:szCs w:val="17"/>
              </w:rPr>
              <w:t>-szétaprózottság</w:t>
            </w:r>
            <w:proofErr w:type="gram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6E04DE5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Kis–közepes</w:t>
            </w:r>
          </w:p>
        </w:tc>
        <w:tc>
          <w:tcPr>
            <w:tcW w:w="13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6193005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folyamatos</w:t>
            </w:r>
          </w:p>
        </w:tc>
        <w:tc>
          <w:tcPr>
            <w:tcW w:w="13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F5403E3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magas, fordulat nélkül</w:t>
            </w:r>
          </w:p>
        </w:tc>
      </w:tr>
      <w:tr w:rsidR="00A169A1" w14:paraId="5318CD1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B1B5033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b/>
                <w:bCs/>
                <w:color w:val="1E7A34"/>
                <w:sz w:val="17"/>
                <w:szCs w:val="17"/>
              </w:rPr>
              <w:lastRenderedPageBreak/>
              <w:t>C — Erózió</w:t>
            </w:r>
          </w:p>
        </w:tc>
        <w:tc>
          <w:tcPr>
            <w:tcW w:w="4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1E08C45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A kereslet és a bizalom kezeletlen marad: folytatódó elvándorlás, elöregedő bázis, termelékenységi stagnálás.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E720171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Nagy, kedvezőtlen</w:t>
            </w:r>
          </w:p>
        </w:tc>
        <w:tc>
          <w:tcPr>
            <w:tcW w:w="13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6AE25BD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2026–2031 alatt mélyül</w:t>
            </w:r>
          </w:p>
        </w:tc>
        <w:tc>
          <w:tcPr>
            <w:tcW w:w="13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1EAADC2" w14:textId="77777777" w:rsidR="00A169A1" w:rsidRDefault="00000000" w:rsidP="0093445C">
            <w:pPr>
              <w:spacing w:line="248" w:lineRule="auto"/>
              <w:jc w:val="both"/>
            </w:pPr>
            <w:r>
              <w:rPr>
                <w:sz w:val="17"/>
                <w:szCs w:val="17"/>
              </w:rPr>
              <w:t>közepes, ha B tartósul</w:t>
            </w:r>
          </w:p>
        </w:tc>
      </w:tr>
    </w:tbl>
    <w:p w14:paraId="798178B8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Cél</w:t>
      </w:r>
    </w:p>
    <w:p w14:paraId="77012AF8" w14:textId="77777777" w:rsidR="00A169A1" w:rsidRDefault="00000000" w:rsidP="0093445C">
      <w:pPr>
        <w:spacing w:after="140" w:line="276" w:lineRule="auto"/>
        <w:jc w:val="both"/>
      </w:pPr>
      <w:r>
        <w:t xml:space="preserve">A cél nem több vállalkozás, hanem több életképes, növekvő, technológiát használó, exportképes és a középvállalati méret felé lépő KKV — a </w:t>
      </w:r>
      <w:proofErr w:type="spellStart"/>
      <w:r>
        <w:t>mikro</w:t>
      </w:r>
      <w:proofErr w:type="spellEnd"/>
      <w:r>
        <w:t>- és kisvállalkozói szegmens kiemelt prioritásával. Ezzel együtt a vállalkozói bázis generációs megújulása és a vállalkozói önbizalom helyreállítása: hogy a vállalkozás reális, vonzó és megtámogatott életpálya legyen, ne reménytelen kockázat.</w:t>
      </w:r>
    </w:p>
    <w:p w14:paraId="02DA5D51" w14:textId="77777777" w:rsidR="00A169A1" w:rsidRDefault="00000000" w:rsidP="0093445C">
      <w:pPr>
        <w:spacing w:after="140" w:line="276" w:lineRule="auto"/>
        <w:jc w:val="both"/>
      </w:pPr>
      <w:r>
        <w:t xml:space="preserve">A vállalkozásnak nemcsak matematikai-jövedelmezőségi, hanem érzelmi oldala is van: a függetlenség, az önállóság, a szabadság, az önkiteljesedés és a bátorság — kiemelten a fiatalok számára </w:t>
      </w:r>
      <w:proofErr w:type="gramStart"/>
      <w:r>
        <w:t>erős motiváció,</w:t>
      </w:r>
      <w:proofErr w:type="gramEnd"/>
      <w:r>
        <w:t xml:space="preserve"> és közvetlen kapcsolat a célhierarchia végső, jólléti szintjéhez. A pillér ezt tudatosan használja: az eszközöket és a kommunikációt is úgy alakítja, hogy a vállalkozóvá válás vonzó és vállalható legyen, a kudarc pedig ne megbélyegző végállomás, hanem tanulható, újrakezdhető lépés.</w:t>
      </w:r>
    </w:p>
    <w:p w14:paraId="0E3A8B3A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Eszköz</w:t>
      </w:r>
    </w:p>
    <w:p w14:paraId="76FBD648" w14:textId="77777777" w:rsidR="00A169A1" w:rsidRDefault="00000000" w:rsidP="0093445C">
      <w:pPr>
        <w:spacing w:after="140" w:line="276" w:lineRule="auto"/>
        <w:jc w:val="both"/>
      </w:pPr>
      <w:r>
        <w:t>A pillér központi eszköze egy integrált vállalkozásfejlesztő csomag, amely a finanszírozást, az üzletfejlesztési szolgáltatást (BDS), az AI-integrációt és a mentorálást egyetlen, egymást erősítő egységként kezeli — nem különálló programokként. Az eszközök hangsúlya normatív és kiszámítható.</w:t>
      </w:r>
    </w:p>
    <w:p w14:paraId="3658916D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Lépcsőzetes, társadalmi célú </w:t>
      </w:r>
      <w:proofErr w:type="spellStart"/>
      <w:r>
        <w:rPr>
          <w:b/>
          <w:bCs/>
        </w:rPr>
        <w:t>mikrohitel</w:t>
      </w:r>
      <w:proofErr w:type="spellEnd"/>
      <w:r>
        <w:rPr>
          <w:b/>
          <w:bCs/>
        </w:rPr>
        <w:t xml:space="preserve">-portfólió (Junior Start, </w:t>
      </w:r>
      <w:proofErr w:type="spellStart"/>
      <w:r>
        <w:rPr>
          <w:b/>
          <w:bCs/>
        </w:rPr>
        <w:t>Senior</w:t>
      </w:r>
      <w:proofErr w:type="spellEnd"/>
      <w:r>
        <w:rPr>
          <w:b/>
          <w:bCs/>
        </w:rPr>
        <w:t xml:space="preserve"> Start, Hazatérő). </w:t>
      </w:r>
      <w:r>
        <w:t>Az Európai Beruházási Alap (EIF) kezességére és vegyes (támogatás és hitel együtt) finanszírozásra épülő, tárgyi fedezet nélküli konstrukciók, kezdeti törlesztési könnyítéssel és kedvezményes kamattal, valamint teljesítményalapú tőkeelengedéssel (sikerdíj) a sikeres, késedelemmentes ügyfeleknek.</w:t>
      </w:r>
    </w:p>
    <w:p w14:paraId="7ECFD371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Az elérhető első fok és a biztonságos bukás elve. </w:t>
      </w:r>
      <w:r>
        <w:t>A kezdő lépés kicsi és kockázat-csökkentett, hogy a kezdeti veszteséges szakasz átvészelhető legyen; a tisztességes kudarc nem megbélyegző, a programok pedig támogatják az újrakezdést — második esély a tisztességes vállalkozói kudarc után, összhangban az EU második-esély elvével.</w:t>
      </w:r>
    </w:p>
    <w:p w14:paraId="05EF95E2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Kötelező, integrált BDS és AI-integrációs tréning. </w:t>
      </w:r>
      <w:r>
        <w:t>Induló digitális marketing csomaggal és játékos elemekkel gazdagított továbbképzéssel, a tudás- és termelékenységi rés zárására.</w:t>
      </w:r>
    </w:p>
    <w:p w14:paraId="5355AE1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Érzelmekre is ható, a fiatalokat célzó kommunikáció. </w:t>
      </w:r>
      <w:r>
        <w:t xml:space="preserve">A függetlenség, az önállóság és az önkiteljesedés </w:t>
      </w:r>
      <w:proofErr w:type="spellStart"/>
      <w:r>
        <w:t>vonzerejére</w:t>
      </w:r>
      <w:proofErr w:type="spellEnd"/>
      <w:r>
        <w:t xml:space="preserve"> építve, a segítünk – nem szégyen elbukni – segítünk újrakezdeni üzenettel.</w:t>
      </w:r>
    </w:p>
    <w:p w14:paraId="1904313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Keresletoldali eszközök. </w:t>
      </w:r>
      <w:r>
        <w:t xml:space="preserve">A közbeszerzés megnyitása a </w:t>
      </w:r>
      <w:proofErr w:type="spellStart"/>
      <w:r>
        <w:t>mikro</w:t>
      </w:r>
      <w:proofErr w:type="spellEnd"/>
      <w:r>
        <w:t>- és kisvállalkozások felé, helyi piacépítés, valamint export- és nem EU-piaci felkészítés (piaci diverzifikáció).</w:t>
      </w:r>
    </w:p>
    <w:p w14:paraId="50E035A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Méretnövekedés és értéklánc-diverzifikáció. </w:t>
      </w:r>
      <w:r>
        <w:t>A középvállalattá lépés ösztönzése, menedzsmentfejlesztés, beszállítófejlesztés és termelékenység-alapú (nem diszkrecionális) ösztönzőszelekció.</w:t>
      </w:r>
    </w:p>
    <w:p w14:paraId="44768C5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Körforgásos és anyaghatékony résprogram. </w:t>
      </w:r>
      <w:r>
        <w:t xml:space="preserve">Az erőforrás-szűkösséget versenyelőnnyé fordító, anyaghatékony és </w:t>
      </w:r>
      <w:proofErr w:type="spellStart"/>
      <w:r>
        <w:t>újrahasznosító</w:t>
      </w:r>
      <w:proofErr w:type="spellEnd"/>
      <w:r>
        <w:t xml:space="preserve"> </w:t>
      </w:r>
      <w:proofErr w:type="spellStart"/>
      <w:r>
        <w:t>mikro</w:t>
      </w:r>
      <w:proofErr w:type="spellEnd"/>
      <w:r>
        <w:t>- és kisvállalkozói tevékenységek támogatása.</w:t>
      </w:r>
    </w:p>
    <w:p w14:paraId="12F22B64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Normatív szállítójármű. </w:t>
      </w:r>
      <w:r>
        <w:t>A Vállalkozói Kártya (automatikus, szabályalapú jogosultság) mint az eszközök kiszámítható, átlátható elosztási csatornája.</w:t>
      </w:r>
    </w:p>
    <w:p w14:paraId="6F7749A2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Intézmény</w:t>
      </w:r>
    </w:p>
    <w:p w14:paraId="4E50AF6E" w14:textId="77777777" w:rsidR="00A169A1" w:rsidRDefault="00000000" w:rsidP="0093445C">
      <w:pPr>
        <w:spacing w:after="140" w:line="276" w:lineRule="auto"/>
        <w:jc w:val="both"/>
      </w:pPr>
      <w:r>
        <w:t>A pillér küldetés-koherens, központ és küllők intézményi modellre épül:</w:t>
      </w:r>
    </w:p>
    <w:p w14:paraId="0866F83D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lastRenderedPageBreak/>
        <w:t xml:space="preserve">Központ. </w:t>
      </w:r>
      <w:r>
        <w:t xml:space="preserve">A társadalmi célú </w:t>
      </w:r>
      <w:proofErr w:type="spellStart"/>
      <w:r>
        <w:t>mikrofinanszírozást</w:t>
      </w:r>
      <w:proofErr w:type="spellEnd"/>
      <w:r>
        <w:t xml:space="preserve"> és vállalkozásfejlesztést közhasznú, nonprofit szakmai platform (forrásgazda és sztenderdadó) koordinálja, a megyei vállalkozásfejlesztési alapítványok hálózatára támaszkodva.</w:t>
      </w:r>
    </w:p>
    <w:p w14:paraId="714DF780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Küllők. </w:t>
      </w:r>
      <w:r>
        <w:t xml:space="preserve">A </w:t>
      </w:r>
      <w:proofErr w:type="spellStart"/>
      <w:r>
        <w:t>Mikrohitel</w:t>
      </w:r>
      <w:proofErr w:type="spellEnd"/>
      <w:r>
        <w:t xml:space="preserve"> Pontok (kiemelt partnerek) és az Értékesítési Pontok (érdeklődőket behozó pontok) viszik az ügyfélközeli végrehajtást.</w:t>
      </w:r>
    </w:p>
    <w:p w14:paraId="571CE44E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Skálázható finanszírozás. </w:t>
      </w:r>
      <w:r>
        <w:t xml:space="preserve">A </w:t>
      </w:r>
      <w:proofErr w:type="spellStart"/>
      <w:r>
        <w:t>mikrohitel</w:t>
      </w:r>
      <w:proofErr w:type="spellEnd"/>
      <w:r>
        <w:t xml:space="preserve"> feletti, nagyobb összegű finanszírozást az MFB által refinanszírozott pénzügyi vállalkozások és a bankok viszik; a fejlesztési-pénzügyi intézmény (MFB) nagykereskedelmi forrást és garanciát ad, a fedezethiányt EIF-kezesség ellentételezi.</w:t>
      </w:r>
    </w:p>
    <w:p w14:paraId="0A6F7974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Minőségbiztosítás. </w:t>
      </w:r>
      <w:r>
        <w:t>A BDS-t akkreditált szakértői rendszer (</w:t>
      </w:r>
      <w:proofErr w:type="spellStart"/>
      <w:r>
        <w:t>iBPN</w:t>
      </w:r>
      <w:proofErr w:type="spellEnd"/>
      <w:r>
        <w:t>) és egyetemi képzési háttér támogatja.</w:t>
      </w:r>
    </w:p>
    <w:p w14:paraId="719306F1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Szerepelosztás. </w:t>
      </w:r>
      <w:r>
        <w:t>Az állam a sztenderdeket, a garanciát és a kiszámítható szabályokat adja; a hálózat a specializációt és az utolsó kilométert.</w:t>
      </w:r>
    </w:p>
    <w:p w14:paraId="307E4769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KPI-k és mérföldkövek</w:t>
      </w:r>
    </w:p>
    <w:p w14:paraId="7786445C" w14:textId="77777777" w:rsidR="00A169A1" w:rsidRDefault="00000000" w:rsidP="0093445C">
      <w:pPr>
        <w:spacing w:after="140" w:line="276" w:lineRule="auto"/>
        <w:jc w:val="both"/>
      </w:pPr>
      <w:r>
        <w:t>A pillér előrehaladását a célhierarchia szerinti mutatók kísérik, kötelező, kontrollcsoportos hatásméréssel (OECD-módszertan szerint):</w:t>
      </w:r>
    </w:p>
    <w:p w14:paraId="74F9669E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Termelékenység. </w:t>
      </w:r>
      <w:r>
        <w:t>A KKV egy foglalkoztatottra jutó hozzáadott értékének közelítése az uniós átlaghoz (illusztratív pálya: a jelenlegi mintegy fele szintről 2031-re érzékelhető javulás, 2036-ra érdemi konvergencia).</w:t>
      </w:r>
    </w:p>
    <w:p w14:paraId="1EE2BC81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Méretszerkezet. </w:t>
      </w:r>
      <w:r>
        <w:t xml:space="preserve">A </w:t>
      </w:r>
      <w:proofErr w:type="spellStart"/>
      <w:r>
        <w:t>mikro→kis</w:t>
      </w:r>
      <w:proofErr w:type="spellEnd"/>
      <w:r>
        <w:t xml:space="preserve"> és </w:t>
      </w:r>
      <w:proofErr w:type="spellStart"/>
      <w:r>
        <w:t>kis→közép</w:t>
      </w:r>
      <w:proofErr w:type="spellEnd"/>
      <w:r>
        <w:t xml:space="preserve"> átlépések számának növekedése.</w:t>
      </w:r>
    </w:p>
    <w:p w14:paraId="7B66532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Hozzáadott érték. </w:t>
      </w:r>
      <w:r>
        <w:t>A KKV-reál hozzáadott érték növekedési pályára állítása (a 2024-es csökkenés megfordítása).</w:t>
      </w:r>
    </w:p>
    <w:p w14:paraId="1F906159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Finanszírozás. </w:t>
      </w:r>
      <w:r>
        <w:t xml:space="preserve">A kezelt </w:t>
      </w:r>
      <w:proofErr w:type="spellStart"/>
      <w:r>
        <w:t>mikrohitel</w:t>
      </w:r>
      <w:proofErr w:type="spellEnd"/>
      <w:r>
        <w:t xml:space="preserve">-állomány bővítése (cél: mintegy 2 milliárd Ft 2030-ra); a Junior, </w:t>
      </w:r>
      <w:proofErr w:type="spellStart"/>
      <w:r>
        <w:t>Senior</w:t>
      </w:r>
      <w:proofErr w:type="spellEnd"/>
      <w:r>
        <w:t xml:space="preserve"> és Hazatérő ügyletek száma.</w:t>
      </w:r>
    </w:p>
    <w:p w14:paraId="00F36216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Túlélés és bizalom. </w:t>
      </w:r>
      <w:r>
        <w:t>A támogatott vállalkozások túlélési rátája a kontrollcsoport felett; a vállalkozói szándék és a hazatérési arány emelkedése; a beruházási hajlandóság javulása.</w:t>
      </w:r>
    </w:p>
    <w:p w14:paraId="140695CD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Kereslet. </w:t>
      </w:r>
      <w:r>
        <w:t xml:space="preserve">A </w:t>
      </w:r>
      <w:proofErr w:type="spellStart"/>
      <w:r>
        <w:t>mikro</w:t>
      </w:r>
      <w:proofErr w:type="spellEnd"/>
      <w:r>
        <w:t>- és kisvállalkozásoknak jutó közbeszerzési részarány növekedése.</w:t>
      </w:r>
    </w:p>
    <w:p w14:paraId="5BAD889A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Mérföldkövek. </w:t>
      </w:r>
      <w:r>
        <w:t>2031-re országosan működő integrált csomag és normatív elosztási csatorna; 2036-ra mérhető termelékenységi konvergencia és a generációs megújulás bizonyítékai.</w:t>
      </w:r>
    </w:p>
    <w:p w14:paraId="2B5E6AF4" w14:textId="77777777" w:rsidR="00A169A1" w:rsidRDefault="00000000" w:rsidP="0093445C">
      <w:pPr>
        <w:pStyle w:val="Cmsor2"/>
        <w:jc w:val="both"/>
      </w:pPr>
      <w:bookmarkStart w:id="16" w:name="_Toc231682213"/>
      <w:r>
        <w:t>4.2 Második pillér — Tudás, készségek és vállalkozói képességek</w:t>
      </w:r>
      <w:bookmarkEnd w:id="16"/>
    </w:p>
    <w:p w14:paraId="6039DD1E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Helyzet és SWOT</w:t>
      </w:r>
    </w:p>
    <w:p w14:paraId="26E4B6DE" w14:textId="77777777" w:rsidR="00A169A1" w:rsidRDefault="00000000" w:rsidP="0093445C">
      <w:pPr>
        <w:spacing w:after="140" w:line="276" w:lineRule="auto"/>
        <w:jc w:val="both"/>
      </w:pPr>
      <w:r>
        <w:t>A növekedés egyre kevésbé a tőkén, egyre inkább a képzett emberen múlik. A felnőtt lakosság digitális alapkészségei és a fiatal korosztály felsőfokú végzettségi aránya az uniós átlag alatt van; hiányoznak a menedzsment-, vállalkozói és AI-komplementer készségek. A digitális infrastruktúra ugyanakkor jó, a felnőttképzési részvétel pedig viszonylag erős — van mire építeni. Ez a pillér az alkalmazkodóképesség fő motorja.</w:t>
      </w:r>
    </w:p>
    <w:p w14:paraId="2F483CDD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Erősségek. </w:t>
      </w:r>
      <w:r>
        <w:t>relatíve erős felnőttképzési részvétel; jó digitális infrastruktúra; jelentős, az uniós szociális alapból (ESF+) származó készségfejlesztési forrás; meglévő szak- és felsőoktatási hálózat.</w:t>
      </w:r>
    </w:p>
    <w:p w14:paraId="0153B871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Gyengeségek. </w:t>
      </w:r>
      <w:r>
        <w:t>alacsony digitális alapkészségek; alacsony fiatal felsőfokú arány; menedzsment- és vállalkozói készséghiány; hiányzó AI-komplementer készségek; gyenge munkaerőpiaci előrejelzés.</w:t>
      </w:r>
    </w:p>
    <w:p w14:paraId="03D7657A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lastRenderedPageBreak/>
        <w:t xml:space="preserve">Lehetőségek. </w:t>
      </w:r>
      <w:proofErr w:type="spellStart"/>
      <w:r>
        <w:t>mikrotanúsítványok</w:t>
      </w:r>
      <w:proofErr w:type="spellEnd"/>
      <w:r>
        <w:t xml:space="preserve"> és moduláris képzés; AI-asszisztált tanulás; vállalkozói szemlélet a köz- és szakképzésben; idősebbek </w:t>
      </w:r>
      <w:proofErr w:type="spellStart"/>
      <w:r>
        <w:t>újraképzése</w:t>
      </w:r>
      <w:proofErr w:type="spellEnd"/>
      <w:r>
        <w:t>; EDIH/EEN mentorhálózat.</w:t>
      </w:r>
    </w:p>
    <w:p w14:paraId="795CA30E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Veszélyek. </w:t>
      </w:r>
      <w:r>
        <w:t>a képzett fiatalok elvándorlása; a készséghiány tartósítja a technológiai lemaradást; demográfiai szűkülés; a képzés és a piaci igény szétcsúszása.</w:t>
      </w:r>
    </w:p>
    <w:p w14:paraId="71E83C16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Forgatókönyvek</w:t>
      </w:r>
    </w:p>
    <w:p w14:paraId="75561D70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A — Készségfordulat. </w:t>
      </w:r>
      <w:proofErr w:type="spellStart"/>
      <w:r>
        <w:t>mikrotanúsítványok</w:t>
      </w:r>
      <w:proofErr w:type="spellEnd"/>
      <w:r>
        <w:t>, AI-komplementer programok és vállalkozói szemlélet együtt emelik az alkalmazkodóképességet. (Kockázat: nagy, kedvező; idősáv: 2026–2031 indul; valószínűség: közepes, a végrehajtáson múlik.)</w:t>
      </w:r>
    </w:p>
    <w:p w14:paraId="03B43EDD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B — Tehetetlenségi. </w:t>
      </w:r>
      <w:r>
        <w:t>szórványos képzések, lassú javulás, tartós készséghiány. (Kockázat: kis–közepes; idősáv: folyamatos; valószínűség: magas fordulat nélkül.)</w:t>
      </w:r>
    </w:p>
    <w:p w14:paraId="34DC4A6D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C — Erózió. </w:t>
      </w:r>
      <w:r>
        <w:t>a képzett fiatalok elvándorlása felgyorsul, a készséghiány tartós lemaradást okoz. (Kockázat: nagy, kedvezőtlen; idősáv: 2026–2031 alatt mélyül; valószínűség: közepes, ha B tartósul.)</w:t>
      </w:r>
    </w:p>
    <w:p w14:paraId="021FFC89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Cél</w:t>
      </w:r>
    </w:p>
    <w:p w14:paraId="2027CB72" w14:textId="77777777" w:rsidR="00A169A1" w:rsidRDefault="00000000" w:rsidP="0093445C">
      <w:pPr>
        <w:spacing w:after="140" w:line="276" w:lineRule="auto"/>
        <w:jc w:val="both"/>
      </w:pPr>
      <w:r>
        <w:t xml:space="preserve">A humán szűk keresztmetszet oldása: olyan munkaerő- és vállalkozói bázis, amely képes a technológiát befogadni és gyorsan alkalmazkodni. Konkrétan a digitális és AI-komplementer készségek, a menedzsment- és skálázási képesség, a vállalkozói szemlélet és </w:t>
      </w:r>
      <w:proofErr w:type="gramStart"/>
      <w:r>
        <w:t>a</w:t>
      </w:r>
      <w:proofErr w:type="gramEnd"/>
      <w:r>
        <w:t xml:space="preserve"> </w:t>
      </w:r>
      <w:proofErr w:type="spellStart"/>
      <w:r>
        <w:t>újraképzés</w:t>
      </w:r>
      <w:proofErr w:type="spellEnd"/>
      <w:r>
        <w:t>-kapacitás emelése — az alkalmazkodóképességet nemzeti kompetenciává téve.</w:t>
      </w:r>
    </w:p>
    <w:p w14:paraId="31B48652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Eszköz</w:t>
      </w:r>
    </w:p>
    <w:p w14:paraId="7591C137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proofErr w:type="spellStart"/>
      <w:r>
        <w:rPr>
          <w:b/>
          <w:bCs/>
        </w:rPr>
        <w:t>Mikrotanúsítványok</w:t>
      </w:r>
      <w:proofErr w:type="spellEnd"/>
      <w:r>
        <w:rPr>
          <w:b/>
          <w:bCs/>
        </w:rPr>
        <w:t xml:space="preserve"> és moduláris, munka melletti képzés. </w:t>
      </w:r>
      <w:r>
        <w:t>Rövid, gyakorlatorientált, beszámítható egységek, az uniós szociális alapra (ESF+) támaszkodva.</w:t>
      </w:r>
    </w:p>
    <w:p w14:paraId="73AE5B7B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AI-komplementer készségprogram. </w:t>
      </w:r>
      <w:r>
        <w:t>Gyakorlati AI-használat a KKV-knál (gyakorlati alkalmazási műhelyek), közvetlenül összekötve a 3. pillér eszközeivel.</w:t>
      </w:r>
    </w:p>
    <w:p w14:paraId="02F86B4F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AI-alapok a közoktatásban. </w:t>
      </w:r>
      <w:r>
        <w:t>Az AI gyakorlati, felelős használatának életkornak megfelelő tanítása már az iskolában — hosszú távú, stratégiai befektetés a jövő munkavállalóinak és vállalkozóinak alkalmazkodóképességébe.</w:t>
      </w:r>
    </w:p>
    <w:p w14:paraId="0F395F4A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Vállalkozói és menedzsmentfejlesztés. </w:t>
      </w:r>
      <w:r>
        <w:t>Skálázási, pénzügyi és projektkészségek; EDIH/EEN mentorhálózat.</w:t>
      </w:r>
    </w:p>
    <w:p w14:paraId="27094618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Vállalkozói szemlélet a köz- és szakképzésben. </w:t>
      </w:r>
      <w:r>
        <w:t>A függetlenség, az önállóság és az önkiteljesedés mint vonzó életpálya — kapcsolódva az 1. pillér érzelmi kommunikációjához és a fiatal-prioritáshoz.</w:t>
      </w:r>
    </w:p>
    <w:p w14:paraId="29D2D7A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Idősebbek és karrierváltók </w:t>
      </w:r>
      <w:proofErr w:type="spellStart"/>
      <w:r>
        <w:rPr>
          <w:b/>
          <w:bCs/>
        </w:rPr>
        <w:t>újraképzése</w:t>
      </w:r>
      <w:proofErr w:type="spellEnd"/>
      <w:r>
        <w:rPr>
          <w:b/>
          <w:bCs/>
        </w:rPr>
        <w:t xml:space="preserve">. </w:t>
      </w:r>
      <w:r>
        <w:t xml:space="preserve">A </w:t>
      </w:r>
      <w:proofErr w:type="spellStart"/>
      <w:r>
        <w:t>Senior</w:t>
      </w:r>
      <w:proofErr w:type="spellEnd"/>
      <w:r>
        <w:t xml:space="preserve"> Start </w:t>
      </w:r>
      <w:proofErr w:type="spellStart"/>
      <w:r>
        <w:t>mikrohitelhez</w:t>
      </w:r>
      <w:proofErr w:type="spellEnd"/>
      <w:r>
        <w:t xml:space="preserve"> kapcsolt, célzott digitalizációs és AI-mentorálás.</w:t>
      </w:r>
    </w:p>
    <w:p w14:paraId="18A78F0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Munkaerőpiaci előrejelzés és erőforrástérképek. </w:t>
      </w:r>
      <w:r>
        <w:t>A képzés és a piaci igény összehangolására, a szétcsúszás megelőzésére.</w:t>
      </w:r>
    </w:p>
    <w:p w14:paraId="6F263729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Intézmény</w:t>
      </w:r>
    </w:p>
    <w:p w14:paraId="281F0E44" w14:textId="77777777" w:rsidR="00A169A1" w:rsidRDefault="00000000" w:rsidP="0093445C">
      <w:pPr>
        <w:spacing w:after="140" w:line="276" w:lineRule="auto"/>
        <w:jc w:val="both"/>
      </w:pPr>
      <w:r>
        <w:t>Az állam a sztenderdeket adja (</w:t>
      </w:r>
      <w:proofErr w:type="spellStart"/>
      <w:r>
        <w:t>mikrotanúsítványi</w:t>
      </w:r>
      <w:proofErr w:type="spellEnd"/>
      <w:r>
        <w:t xml:space="preserve"> keret, minőség, beszámíthatóság), a meglévő szak- és felsőoktatási intézmények, az EDIH/EEN mentorhálózat és a kamarák pedig a végrehajtást — szoros összehangolásban a 3. pillér gyakorlati alkalmazási műhelyeivel. Központ és küllők: sztenderdadó központ + képzési és mentorhálózat.</w:t>
      </w:r>
    </w:p>
    <w:p w14:paraId="4A730F9C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KPI-k és mérföldkövek</w:t>
      </w:r>
    </w:p>
    <w:p w14:paraId="3B2AA36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lastRenderedPageBreak/>
        <w:t xml:space="preserve">Készségek. </w:t>
      </w:r>
      <w:r>
        <w:t>a digitális alapkészségek és az AI-komplementer készségek lefedettségének emelkedése az uniós medián felé.</w:t>
      </w:r>
    </w:p>
    <w:p w14:paraId="6DCB3DB8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Képzés. </w:t>
      </w:r>
      <w:proofErr w:type="spellStart"/>
      <w:r>
        <w:t>mikrotanúsítványok</w:t>
      </w:r>
      <w:proofErr w:type="spellEnd"/>
      <w:r>
        <w:t xml:space="preserve"> száma; a menedzsmentfejlesztés és </w:t>
      </w:r>
      <w:proofErr w:type="gramStart"/>
      <w:r>
        <w:t>a</w:t>
      </w:r>
      <w:proofErr w:type="gramEnd"/>
      <w:r>
        <w:t xml:space="preserve"> </w:t>
      </w:r>
      <w:proofErr w:type="spellStart"/>
      <w:r>
        <w:t>újraképzés</w:t>
      </w:r>
      <w:proofErr w:type="spellEnd"/>
      <w:r>
        <w:t xml:space="preserve"> résztvevőinek száma.</w:t>
      </w:r>
    </w:p>
    <w:p w14:paraId="290BA87E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Vállalkozói kedv. </w:t>
      </w:r>
      <w:r>
        <w:t>a fiatalok vállalkozói szándékának emelkedése (kapcsolódik az 1. pillérhez).</w:t>
      </w:r>
    </w:p>
    <w:p w14:paraId="3F4BABEF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Illeszkedés. </w:t>
      </w:r>
      <w:r>
        <w:t>a képzés és a piaci igény közötti összhang javulása.</w:t>
      </w:r>
    </w:p>
    <w:p w14:paraId="550FD89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Mérföldkövek. </w:t>
      </w:r>
      <w:r>
        <w:t xml:space="preserve">2031-re működő </w:t>
      </w:r>
      <w:proofErr w:type="spellStart"/>
      <w:r>
        <w:t>mikrotanúsítványi</w:t>
      </w:r>
      <w:proofErr w:type="spellEnd"/>
      <w:r>
        <w:t xml:space="preserve"> rendszer és gyakorlati alkalmazási műhelyhálózat; 2036-ra mérhető készség-konvergencia.</w:t>
      </w:r>
    </w:p>
    <w:p w14:paraId="5BF456B1" w14:textId="77777777" w:rsidR="00A169A1" w:rsidRDefault="00000000" w:rsidP="0093445C">
      <w:pPr>
        <w:pStyle w:val="Cmsor2"/>
        <w:jc w:val="both"/>
      </w:pPr>
      <w:bookmarkStart w:id="17" w:name="_Toc231682214"/>
      <w:r>
        <w:t>4.3 Harmadik pillér — Technológia, AI és digitális diffúzió</w:t>
      </w:r>
      <w:bookmarkEnd w:id="17"/>
    </w:p>
    <w:p w14:paraId="47AEB598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Helyzet és SWOT</w:t>
      </w:r>
    </w:p>
    <w:p w14:paraId="14795446" w14:textId="77777777" w:rsidR="00A169A1" w:rsidRDefault="00000000" w:rsidP="0093445C">
      <w:pPr>
        <w:spacing w:after="140" w:line="276" w:lineRule="auto"/>
        <w:jc w:val="both"/>
      </w:pPr>
      <w:r>
        <w:t>Az AI-adaptáció Magyarországon a vállalkozások mintegy 10%-</w:t>
      </w:r>
      <w:proofErr w:type="spellStart"/>
      <w:r>
        <w:t>ánál</w:t>
      </w:r>
      <w:proofErr w:type="spellEnd"/>
      <w:r>
        <w:t xml:space="preserve"> van jelen, szemben a 20%-os uniós átlaggal: a gát nem az infrastruktúra (az viszonylag jó), hanem az adaptáció, a készség és az alkalmazás. A technikai vagyon adott — a Komondor szuperszámítógép, a magyar nyelvű PULI-modellek, a Nemzeti Adatvagyon Ügynökség (NAVÜ) adatkezelése és a digitális innovációs központok hálózata (EDIH) —, de a működtetés és a forráselosztás reformra szorul, a normatív, átlátható, nyílt forráskódú irányba. Az AI energia- és vízlábnyoma a kis modellek és a helyi (a cég saját gépén történő) futtatás felé mutat, összhangban a fenntartható mértékletességgel.</w:t>
      </w:r>
    </w:p>
    <w:p w14:paraId="0DA2C2EC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Erősségek. </w:t>
      </w:r>
      <w:r>
        <w:t>meglévő technikai vagyon (Komondor, PULI, NAVÜ, EDIH); jó digitális infrastruktúra; magyar nyelvi és szakmai szövegállományok; közép- és magas technológiai exportszerkezet.</w:t>
      </w:r>
    </w:p>
    <w:p w14:paraId="381C81C5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Gyengeségek. </w:t>
      </w:r>
      <w:r>
        <w:t>alacsony vállalati AI-adaptáció; készség- és alkalmazásoldali gát; irányítási és adatkezelési hiányosságok; szétaprózott, diszkrecionális forráselosztás.</w:t>
      </w:r>
    </w:p>
    <w:p w14:paraId="38AB3896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Lehetőségek. </w:t>
      </w:r>
      <w:r>
        <w:t>hibrid, többszintű modell (uniós közös számítási kapacitás + nemzeti tudásréteg + ágazati kis modellek + helyi futtatás); normatív AI-munkaállomás-utalvány; az EU AI-programjainak és nyílt forráskódú fordulatának kihasználása; energiakímélő kis modellek.</w:t>
      </w:r>
    </w:p>
    <w:p w14:paraId="1BA69A0D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Veszélyek. </w:t>
      </w:r>
      <w:r>
        <w:t xml:space="preserve">technológiai romantika (tiszta </w:t>
      </w:r>
      <w:proofErr w:type="spellStart"/>
      <w:r>
        <w:t>lokalizmus</w:t>
      </w:r>
      <w:proofErr w:type="spellEnd"/>
      <w:r>
        <w:t xml:space="preserve"> → elavulás) vagy teljes felhőfüggés (egy szállítóhoz kötöttség, adatkitettség); rossz adatkezelés; készségszűk keresztmetszet; egyszeri forrásokra épített rendszer.</w:t>
      </w:r>
    </w:p>
    <w:p w14:paraId="6170AA1B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Forgatókönyvek</w:t>
      </w:r>
    </w:p>
    <w:p w14:paraId="3A3AAF4A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A — Hibrid diffúzió. </w:t>
      </w:r>
      <w:r>
        <w:t>a rétegzett architektúra + normatív utalvány + reformált irányítás széles, biztonságos AI-adaptációt hoz. (Kockázat: nagy, kedvező; idősáv: 2026–2031 indul, 2036-ra érik; valószínűség: közepes, a végrehajtáson múlik.)</w:t>
      </w:r>
    </w:p>
    <w:p w14:paraId="78638FC8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B — Tehetetlenségi. </w:t>
      </w:r>
      <w:r>
        <w:t>pilotok maradnak, lassú adaptáció, tartós lemaradás az uniós mediántól. (Kockázat: kis–közepes; idősáv: folyamatos; valószínűség: magas fordulat nélkül.)</w:t>
      </w:r>
    </w:p>
    <w:p w14:paraId="1E8FED0F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C — Zsákutca. </w:t>
      </w:r>
      <w:r>
        <w:t xml:space="preserve">a tiszta </w:t>
      </w:r>
      <w:proofErr w:type="spellStart"/>
      <w:r>
        <w:t>lokalizmus</w:t>
      </w:r>
      <w:proofErr w:type="spellEnd"/>
      <w:r>
        <w:t xml:space="preserve"> vagy a teljes felhőfüggés rossz végállapotba visz (elavulás vagy kiszolgáltatottság). (Kockázat: nagy, kedvezőtlen; idősáv: 2026–2031; valószínűség: alacsony–közepes, ha a stratégia szélsőségbe csúszik.)</w:t>
      </w:r>
    </w:p>
    <w:p w14:paraId="1286269A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Cél</w:t>
      </w:r>
    </w:p>
    <w:p w14:paraId="3F83A6BB" w14:textId="77777777" w:rsidR="00A169A1" w:rsidRDefault="00000000" w:rsidP="0093445C">
      <w:pPr>
        <w:spacing w:after="140" w:line="276" w:lineRule="auto"/>
        <w:jc w:val="both"/>
      </w:pPr>
      <w:r>
        <w:t xml:space="preserve">Széles, biztonságos és költséghatékony AI-adaptáció, amely mérhetően emeli a termelékenységet az ágazatokban — </w:t>
      </w:r>
      <w:proofErr w:type="gramStart"/>
      <w:r>
        <w:t>Magyarország</w:t>
      </w:r>
      <w:proofErr w:type="gramEnd"/>
      <w:r>
        <w:t xml:space="preserve"> mint magas adaptációs képességű ország, saját tudásréteggel, ágazati kis modellekkel és széles, munkaállomás-alapú AI-hozzáféréssel. Nem látványos élvonalbeli, legnagyobb modellt </w:t>
      </w:r>
      <w:r>
        <w:lastRenderedPageBreak/>
        <w:t>birtokló presztízsprojekt, hanem hasznos diffúzió. Az AI horizontális gyorsító; ez a pillér tartja az ehhez tartozó infrastruktúrát, sztenderdeket és diffúziós programot.</w:t>
      </w:r>
    </w:p>
    <w:p w14:paraId="38A02408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Eszköz</w:t>
      </w:r>
    </w:p>
    <w:p w14:paraId="72932769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Hibrid, többszintű felépítés. </w:t>
      </w:r>
      <w:r>
        <w:t>Uniós közös szuperszámítógép-kapacitás (</w:t>
      </w:r>
      <w:proofErr w:type="spellStart"/>
      <w:r>
        <w:t>EuroHPC</w:t>
      </w:r>
      <w:proofErr w:type="spellEnd"/>
      <w:r>
        <w:t xml:space="preserve">, AI-gyárak) + nemzeti tudás- és adatréteg + ágazati kis modellek + helyi AI-munkaállomások a cégeknél. A nehéz betanítás a közös kapacitáson és a hazai Komondoron történik, a mindennapi használat (a kész modell futtatása) a vállalkozások helyi </w:t>
      </w:r>
      <w:proofErr w:type="spellStart"/>
      <w:r>
        <w:t>gépein</w:t>
      </w:r>
      <w:proofErr w:type="spellEnd"/>
      <w:r>
        <w:t>.</w:t>
      </w:r>
    </w:p>
    <w:p w14:paraId="125BE58D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Normatív AI-munkaállomás-utalvány. </w:t>
      </w:r>
      <w:r>
        <w:t>Gyorsított értékcsökkenéssel, a Vállalkozói Kártyán keresztül — szabályalapú, nem pályázati elosztás.</w:t>
      </w:r>
    </w:p>
    <w:p w14:paraId="6A82162E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Nemzeti tudás- és adatréteg menedzselt infrastruktúraként. </w:t>
      </w:r>
      <w:r>
        <w:t>a Nemzeti Adatvagyon Ügynökség kezelésében lévő, verziókövetett, auditálható, jogtiszta adatkormányzás; ágazati tudáscsomag-pilotok (jogi-megfelelés, agrár-víz, exportpiaci intelligencia, egészségügyi dokumentáció, energetika).</w:t>
      </w:r>
    </w:p>
    <w:p w14:paraId="1B99D940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Ágazati kis modellek nyílt súlyú alapokon. </w:t>
      </w:r>
      <w:r>
        <w:t xml:space="preserve">A saját szakterületükön nagyon okos, kisebb modellek a PULI-ökoszisztémára és nyílt súlyú (letölthető, helyben futtatható és finomhangolható) modellekre építve, biztonságos, </w:t>
      </w:r>
      <w:proofErr w:type="spellStart"/>
      <w:r>
        <w:t>validált</w:t>
      </w:r>
      <w:proofErr w:type="spellEnd"/>
      <w:r>
        <w:t xml:space="preserve"> adattárból, nyílt licenccel. A szuverén, helyi megközelítés alapja nyílt súlyú modell — nem zárt, csak távoli szolgáltatásként elérhető rendszer.</w:t>
      </w:r>
    </w:p>
    <w:p w14:paraId="78302D5C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Ösztöndíj-, gyakornoki és stratégiai fejlesztési program. </w:t>
      </w:r>
      <w:r>
        <w:t xml:space="preserve">A magyar nyelvű, szakterületi modellek (például orvosi képdiagnosztika, magyar jog, természettudományok) fejlesztése vezető fejlesztőkkel és hazai kutatóintézetekkel; a gyakornokok valódi modelleken tanulnak, a magyar fél jogai szerződésben biztosítva, a kiszolgáltatottság elkerülésével. Az érzékeny, magas kockázatú felhasználásnál (például orvosi döntéstámogatás) szakmai felügyelet, klinikai </w:t>
      </w:r>
      <w:proofErr w:type="spellStart"/>
      <w:r>
        <w:t>validálás</w:t>
      </w:r>
      <w:proofErr w:type="spellEnd"/>
      <w:r>
        <w:t xml:space="preserve"> és szabályozási megfelelés szükséges.</w:t>
      </w:r>
    </w:p>
    <w:p w14:paraId="6B491CB4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AI-megfelelési támogatás. </w:t>
      </w:r>
      <w:r>
        <w:t xml:space="preserve">Az uniós AI-szabályozás (AI </w:t>
      </w:r>
      <w:proofErr w:type="spellStart"/>
      <w:r>
        <w:t>Act</w:t>
      </w:r>
      <w:proofErr w:type="spellEnd"/>
      <w:r>
        <w:t>) kisvállalkozásokra arányos alkalmazásához, szabályozási tesztkörnyezettel (ellenőrzött kipróbálási lehetőséggel).</w:t>
      </w:r>
    </w:p>
    <w:p w14:paraId="6EDF100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Nyílt forráskódú és összekapcsolható megoldások előnyben a közbeszerzésben. </w:t>
      </w:r>
      <w:r>
        <w:t>A függetlenség eleve beépítve, az egyetlen szállítóhoz kötöttség mérséklésére és a kisvállalkozások belépésének könnyítésére.</w:t>
      </w:r>
    </w:p>
    <w:p w14:paraId="7E762F35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Intézmény</w:t>
      </w:r>
    </w:p>
    <w:p w14:paraId="16FE08A8" w14:textId="77777777" w:rsidR="00A169A1" w:rsidRDefault="00000000" w:rsidP="0093445C">
      <w:pPr>
        <w:spacing w:after="140" w:line="276" w:lineRule="auto"/>
        <w:jc w:val="both"/>
      </w:pPr>
      <w:r>
        <w:t>Az állam a közjavakat és a sztenderdeket adja (tudásréteg, összekapcsolhatóság, tesztkörnyezet, nyílt építőelemek, értékelési szabályok, utalvány); a piac viszi a szakterületi specializációt és az utolsó kilométert. Központ: a Komondor és az uniós kapacitás, a HUN-REN Nyelvtudományi Kutatóközpont (a PULI-modellek fejlesztője) és a Nemzeti Adatvagyon Ügynökség. Küllők: a vállalati AI-munkaállomások és a digitális innovációs központok (EDIH) végrehajtása. A meglévő technikai vagyonra építünk, a működtetést és a szállítást tesszük átláthatóbbá.</w:t>
      </w:r>
    </w:p>
    <w:p w14:paraId="2A9EC703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KPI-k és mérföldkövek</w:t>
      </w:r>
    </w:p>
    <w:p w14:paraId="2845777D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AI-adaptáció. </w:t>
      </w:r>
      <w:r>
        <w:t>a vállalati AI-használat emelése az uniós medián felé (2031), majd tartós konvergencia (2036).</w:t>
      </w:r>
    </w:p>
    <w:p w14:paraId="0C05AF22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Hozzáférés. </w:t>
      </w:r>
      <w:r>
        <w:t>a normatív AI-munkaállomás-utalvány igénybevétele; az AI-t használó KKV-k száma.</w:t>
      </w:r>
    </w:p>
    <w:p w14:paraId="511C721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Tudásréteg. </w:t>
      </w:r>
      <w:r>
        <w:t xml:space="preserve">élő ágazati tudáscsomag-pilotok; elérhető, </w:t>
      </w:r>
      <w:proofErr w:type="spellStart"/>
      <w:r>
        <w:t>validált</w:t>
      </w:r>
      <w:proofErr w:type="spellEnd"/>
      <w:r>
        <w:t xml:space="preserve"> kis modellek száma.</w:t>
      </w:r>
    </w:p>
    <w:p w14:paraId="4B517B7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Termelékenység. </w:t>
      </w:r>
      <w:r>
        <w:t>mérhető hatékonyságjavulás a célzott vállalati folyamatokban (kontrollcsoportos méréssel).</w:t>
      </w:r>
    </w:p>
    <w:p w14:paraId="0FF9D33B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lastRenderedPageBreak/>
        <w:t xml:space="preserve">Mérföldkövek. </w:t>
      </w:r>
      <w:r>
        <w:t>2031-re működő hibrid architektúra, nemzeti modelltár és tesztkörnyezet; 2036-ra széles, biztonságos AI-adaptáció.</w:t>
      </w:r>
    </w:p>
    <w:p w14:paraId="7E2939D9" w14:textId="77777777" w:rsidR="00A169A1" w:rsidRDefault="00000000" w:rsidP="0093445C">
      <w:pPr>
        <w:pStyle w:val="Cmsor2"/>
        <w:jc w:val="both"/>
      </w:pPr>
      <w:bookmarkStart w:id="18" w:name="_Toc231682215"/>
      <w:r>
        <w:t>4.4 Negyedik pillér — Energiafüggetlenség és erőforrás-hatékonyság</w:t>
      </w:r>
      <w:bookmarkEnd w:id="18"/>
    </w:p>
    <w:p w14:paraId="0E9D3B9C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Helyzet és SWOT</w:t>
      </w:r>
    </w:p>
    <w:p w14:paraId="41049A3A" w14:textId="77777777" w:rsidR="00A169A1" w:rsidRDefault="00000000" w:rsidP="0093445C">
      <w:pPr>
        <w:spacing w:after="140" w:line="276" w:lineRule="auto"/>
        <w:jc w:val="both"/>
      </w:pPr>
      <w:r>
        <w:t>Az energia versenyképességi tényező: a primerenergia mintegy háromnegyede import, az ipari áram ára pedig az EU egyik legmagasabbja, ami közvetlenül terheli a feldolgozóipart és a KKV-kat. A napenergia gyors térnyerése jó kiindulópont, de a tárolás és a rendszerintegráció hátravan. Az erőforrás- és nyersanyagszűkösség külön kockázat. A kitörés a hatékonyságon, a helyi megújulón és az anyaghatékonyságon át vezet.</w:t>
      </w:r>
    </w:p>
    <w:p w14:paraId="689D72A4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Erősségek. </w:t>
      </w:r>
      <w:r>
        <w:t>gyors napenergia-térnyerés; meglévő hálózati infrastruktúra; jelentős ipari energiamegtakarítási potenciál.</w:t>
      </w:r>
    </w:p>
    <w:p w14:paraId="7B43FA08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Gyengeségek. </w:t>
      </w:r>
      <w:r>
        <w:t>magas importfüggés; magas ipari energiaár; magas energiaintenzitás; hiányzó tárolás és rendszerintegráció; alacsony KKV-energiahatékonyság.</w:t>
      </w:r>
    </w:p>
    <w:p w14:paraId="79DBF9CB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Lehetőségek. </w:t>
      </w:r>
      <w:r>
        <w:t>KKV-energiahatékonyság; helyi megújuló és tárolás; körforgásos anyaghatékonyság; rugalmas fogyasztásszabályozás; célhoz kötött EU energiaforrások.</w:t>
      </w:r>
    </w:p>
    <w:p w14:paraId="070AC860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Veszélyek. </w:t>
      </w:r>
      <w:r>
        <w:t xml:space="preserve">tartósan magas és ingadozó energiaár; ellátásbiztonsági kitettség; kritikus nyersanyagfüggés; a zöld átállás technológiai-megvalósíthatósági </w:t>
      </w:r>
      <w:proofErr w:type="spellStart"/>
      <w:r>
        <w:t>korlátai</w:t>
      </w:r>
      <w:proofErr w:type="spellEnd"/>
      <w:r>
        <w:t>.</w:t>
      </w:r>
    </w:p>
    <w:p w14:paraId="43B5C671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Forgatókönyvek</w:t>
      </w:r>
    </w:p>
    <w:p w14:paraId="2F8AC667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A — Hatékonysági fordulat. </w:t>
      </w:r>
      <w:r>
        <w:t>a KKV-energiahatékonyság, a helyi megújuló és a tárolás együtt csökkenti az intenzitást és a kitettséget. (Kockázat: nagy, kedvező; idősáv: 2026–2031 indul; valószínűség: közepes.)</w:t>
      </w:r>
    </w:p>
    <w:p w14:paraId="79EA1FBA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B — Tehetetlenségi. </w:t>
      </w:r>
      <w:r>
        <w:t>részleges korszerűsítés, tartósan magas energiaköltség. (Kockázat: kis–közepes; idősáv: folyamatos; valószínűség: magas fordulat nélkül.)</w:t>
      </w:r>
    </w:p>
    <w:p w14:paraId="25D01942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C — Kitettség. </w:t>
      </w:r>
      <w:r>
        <w:t>tartósan magas és ingadozó árak, ellátásbiztonsági sokkok terhelik a versenyképességet. (Kockázat: nagy, kedvezőtlen; idősáv: bármikor; valószínűség: közepes.)</w:t>
      </w:r>
    </w:p>
    <w:p w14:paraId="3B65C807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Cél</w:t>
      </w:r>
    </w:p>
    <w:p w14:paraId="4AB78038" w14:textId="77777777" w:rsidR="00A169A1" w:rsidRDefault="00000000" w:rsidP="0093445C">
      <w:pPr>
        <w:spacing w:after="140" w:line="276" w:lineRule="auto"/>
        <w:jc w:val="both"/>
      </w:pPr>
      <w:r>
        <w:t>Az energiaintenzitás és a kitettség csökkentése; a KKV-energiahatékonyság emelése; a helyi megújuló és tárolás bővítése; az erőforrás-szűkösség anyaghatékonysági előnnyé fordítása. Az energiabiztonság mint versenyképesség.</w:t>
      </w:r>
    </w:p>
    <w:p w14:paraId="7CBECFB6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Eszköz</w:t>
      </w:r>
    </w:p>
    <w:p w14:paraId="3F33847C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KKV-energiahatékonysági program. </w:t>
      </w:r>
      <w:r>
        <w:t>Zöld Audit és normatív támogatás a korszerűsítéshez, a Vállalkozói Kártyán keresztül.</w:t>
      </w:r>
    </w:p>
    <w:p w14:paraId="366E5D31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Helyi megújuló és tárolás. </w:t>
      </w:r>
      <w:r>
        <w:t>Önfogyasztás és közösségi energia ösztönzése, rendszerintegrációval.</w:t>
      </w:r>
    </w:p>
    <w:p w14:paraId="42F9F9F7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Körforgásos és anyaghatékonysági eszközök. </w:t>
      </w:r>
      <w:r>
        <w:t>Az 1. pillér résprogramjával összekötve.</w:t>
      </w:r>
    </w:p>
    <w:p w14:paraId="0AF7586B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Energiaár-kitettség csökkentése. </w:t>
      </w:r>
      <w:r>
        <w:t>Diverzifikáció, hosszú távú szerződések, rugalmas fogyasztásszabályozás.</w:t>
      </w:r>
    </w:p>
    <w:p w14:paraId="4E07B29F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Normatív, kiszámítható ösztönzők. </w:t>
      </w:r>
      <w:r>
        <w:t>Nem pályázati elosztás; a célhoz kötött EU energiaforrásokkal.</w:t>
      </w:r>
    </w:p>
    <w:p w14:paraId="185C6EFB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Intézmény</w:t>
      </w:r>
    </w:p>
    <w:p w14:paraId="2D1A5845" w14:textId="77777777" w:rsidR="00A169A1" w:rsidRDefault="00000000" w:rsidP="0093445C">
      <w:pPr>
        <w:spacing w:after="140" w:line="276" w:lineRule="auto"/>
        <w:jc w:val="both"/>
      </w:pPr>
      <w:r>
        <w:lastRenderedPageBreak/>
        <w:t>Központ és küllők: az állam adja a sztenderdeket (auditmódszertan, hatékonysági normák), a hálózat és a piac a végrehajtást; összehangolva az energiaszabályozóval és a fejlesztési-pénzügyi réteggel. Az EU-források célhoz kötve.</w:t>
      </w:r>
    </w:p>
    <w:p w14:paraId="66B914AC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KPI-k és mérföldkövek</w:t>
      </w:r>
    </w:p>
    <w:p w14:paraId="655B00DE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Energiaintenzitás. </w:t>
      </w:r>
      <w:r>
        <w:t>csökkenő egységnyi termelésre jutó energiafelhasználás.</w:t>
      </w:r>
    </w:p>
    <w:p w14:paraId="6F3D448C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Hatékonyság. </w:t>
      </w:r>
      <w:r>
        <w:t>a KKV-energiahatékonysági korszerűsítések száma.</w:t>
      </w:r>
    </w:p>
    <w:p w14:paraId="1C7BB16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Megújuló és tárolás. </w:t>
      </w:r>
      <w:r>
        <w:t>helyi megújuló- és tárolókapacitás; importfüggés csökkenése.</w:t>
      </w:r>
    </w:p>
    <w:p w14:paraId="5050E6A0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Mérföldkövek. </w:t>
      </w:r>
      <w:r>
        <w:t>2031-re működő KKV-hatékonysági program; 2036-ra érdemi intenzitás- és kitettségcsökkenés.</w:t>
      </w:r>
    </w:p>
    <w:p w14:paraId="4AAC62CA" w14:textId="77777777" w:rsidR="00A169A1" w:rsidRDefault="00000000" w:rsidP="0093445C">
      <w:pPr>
        <w:pStyle w:val="Cmsor2"/>
        <w:jc w:val="both"/>
      </w:pPr>
      <w:bookmarkStart w:id="19" w:name="_Toc231682216"/>
      <w:r>
        <w:t>4.5 Ötödik pillér — Víz-, agrár- és klímaadaptáció</w:t>
      </w:r>
      <w:bookmarkEnd w:id="19"/>
    </w:p>
    <w:p w14:paraId="5256B0FB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Helyzet és SWOT</w:t>
      </w:r>
    </w:p>
    <w:p w14:paraId="62D05F9A" w14:textId="77777777" w:rsidR="00A169A1" w:rsidRDefault="00000000" w:rsidP="0093445C">
      <w:pPr>
        <w:spacing w:after="140" w:line="276" w:lineRule="auto"/>
        <w:jc w:val="both"/>
      </w:pPr>
      <w:r>
        <w:t>A Kárpát-medence klíma- és vízválsága súlyosbodik: 2025-ben több százezer hektárt sújtott aszálykár, az ország területének túlnyomó része aszályveszélyeztetett, ami az agráriumot és az élelmiszerláncokat tartós kockázatnak teszi ki. A válasz a vízvisszatartás, a precíziós agrárium és a klímaálló termesztés.</w:t>
      </w:r>
    </w:p>
    <w:p w14:paraId="6EF08FA7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Erősségek. </w:t>
      </w:r>
      <w:r>
        <w:t>erős agrárhagyomány és -bázis; jó agronómiai tudás; részben meglévő öntözési és vízügyi infrastruktúra.</w:t>
      </w:r>
    </w:p>
    <w:p w14:paraId="1DC3EB69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Gyengeségek. </w:t>
      </w:r>
      <w:r>
        <w:t>növekvő aszály és vízhiány; alacsony vízvisszatartás; alacsony precíziós agrár-adaptáció; az agrár hozzáadott érték ingadozása.</w:t>
      </w:r>
    </w:p>
    <w:p w14:paraId="002AEACC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Lehetőségek. </w:t>
      </w:r>
      <w:r>
        <w:t>vízvisszatartás és tájgazdálkodás; precíziós agrárium (AI, drón, szenzorok); klímaálló fajták; rövidebb értékláncok; élelmiszer-gazdasági adattér.</w:t>
      </w:r>
    </w:p>
    <w:p w14:paraId="097E4AD0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Veszélyek. </w:t>
      </w:r>
      <w:r>
        <w:t>súlyosbodó aszály és terméskiesés; élelmiszerlánc-kockázat; vízkonfliktusok; az adaptáció elmaradása tartós veszteséget okoz.</w:t>
      </w:r>
    </w:p>
    <w:p w14:paraId="4D08B19B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Forgatókönyvek</w:t>
      </w:r>
    </w:p>
    <w:p w14:paraId="61925752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A — Adaptációs fordulat. </w:t>
      </w:r>
      <w:r>
        <w:t>vízvisszatartás, precíziós agrárium és klímaálló termesztés csökkenti a kockázatot és stabilizálja a hozzáadott értéket. (Kockázat: nagy, kedvező; idősáv: 2026–2031 indul; valószínűség: közepes.)</w:t>
      </w:r>
    </w:p>
    <w:p w14:paraId="462CD568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B — Tehetetlenségi. </w:t>
      </w:r>
      <w:r>
        <w:t>lassú adaptáció, ismétlődő aszálykárok. (Kockázat: közepes; idősáv: folyamatos; valószínűség: magas fordulat nélkül.)</w:t>
      </w:r>
    </w:p>
    <w:p w14:paraId="4103D0D8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C — Klímasokk. </w:t>
      </w:r>
      <w:r>
        <w:t>tartós aszály és terméskiesés súlyos élelmiszerlánc- és jövedelemkockázattal. (Kockázat: kritikus; idősáv: bármikor; valószínűség: közepes és növekvő.)</w:t>
      </w:r>
    </w:p>
    <w:p w14:paraId="4A6FD50C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Cél</w:t>
      </w:r>
    </w:p>
    <w:p w14:paraId="3F4CFA63" w14:textId="77777777" w:rsidR="00A169A1" w:rsidRDefault="00000000" w:rsidP="0093445C">
      <w:pPr>
        <w:spacing w:after="140" w:line="276" w:lineRule="auto"/>
        <w:jc w:val="both"/>
      </w:pPr>
      <w:r>
        <w:t>Klíma- és vízálló agrárium és élelmiszerláncok; vízvisszatartás; precíziós agrárium; az aszály- és élelmiszerlánc-kockázat csökkentése; az agrár hozzáadott érték stabilitásának növelése.</w:t>
      </w:r>
    </w:p>
    <w:p w14:paraId="072E7751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Eszköz</w:t>
      </w:r>
    </w:p>
    <w:p w14:paraId="1CA41F9E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Vízvisszatartás és tájgazdálkodás. </w:t>
      </w:r>
      <w:proofErr w:type="spellStart"/>
      <w:r>
        <w:t>Víztározás</w:t>
      </w:r>
      <w:proofErr w:type="spellEnd"/>
      <w:r>
        <w:t xml:space="preserve"> és természetes vízmegtartás, normatív ösztönzőkkel.</w:t>
      </w:r>
    </w:p>
    <w:p w14:paraId="5F5DA4EC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Precíziós agrárium. </w:t>
      </w:r>
      <w:r>
        <w:t>AI, drón, szenzorok és saját dokumentumokból dolgozó tudáscsomagok — a 3. és a 4.7. pillérrel összekötve.</w:t>
      </w:r>
    </w:p>
    <w:p w14:paraId="268CD83D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Klímaálló fajták és gyakorlatok. </w:t>
      </w:r>
      <w:r>
        <w:t>Agronómiai tanácsadás (üzletfejlesztési jellegű tanácsadás).</w:t>
      </w:r>
    </w:p>
    <w:p w14:paraId="04506239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lastRenderedPageBreak/>
        <w:t xml:space="preserve">Rövidebb, ellenállóbb értékláncok. </w:t>
      </w:r>
      <w:r>
        <w:t>Helyi élelmiszer-rendszerek erősítése.</w:t>
      </w:r>
    </w:p>
    <w:p w14:paraId="1AD4D1D1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Élelmiszer-gazdasági adattér és előrejelzés. </w:t>
      </w:r>
      <w:r>
        <w:t xml:space="preserve">A </w:t>
      </w:r>
      <w:proofErr w:type="spellStart"/>
      <w:r>
        <w:t>a</w:t>
      </w:r>
      <w:proofErr w:type="spellEnd"/>
      <w:r>
        <w:t xml:space="preserve"> nemzeti tudásréteggel összekötve.</w:t>
      </w:r>
    </w:p>
    <w:p w14:paraId="7181FFBC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Intézmény</w:t>
      </w:r>
    </w:p>
    <w:p w14:paraId="233CD412" w14:textId="77777777" w:rsidR="00A169A1" w:rsidRDefault="00000000" w:rsidP="0093445C">
      <w:pPr>
        <w:spacing w:after="140" w:line="276" w:lineRule="auto"/>
        <w:jc w:val="both"/>
      </w:pPr>
      <w:r>
        <w:t>Központ és küllők: az állam adja a víz- és agronómiai sztenderdeket, a végrehajtás az agrár-tanácsadói hálózaton, az EDIH-n és a kamarákon keresztül; összehangolva a vízügyi hatósággal és a fejlesztési-pénzügyi réteggel. Az EU agrár- és klímaforrások célhoz kötve.</w:t>
      </w:r>
    </w:p>
    <w:p w14:paraId="6FA08B48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KPI-k és mérföldkövek</w:t>
      </w:r>
    </w:p>
    <w:p w14:paraId="7D0C33B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Vízvisszatartás. </w:t>
      </w:r>
      <w:r>
        <w:t>növekvő vízmegtartó kapacitás.</w:t>
      </w:r>
    </w:p>
    <w:p w14:paraId="5828659E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Precíziós agrárium. </w:t>
      </w:r>
      <w:r>
        <w:t>a precíziós technológiák elterjedtsége.</w:t>
      </w:r>
    </w:p>
    <w:p w14:paraId="20CF4786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Kockázat. </w:t>
      </w:r>
      <w:r>
        <w:t>csökkenő aszálykár; az agrár hozzáadott érték stabilitása.</w:t>
      </w:r>
    </w:p>
    <w:p w14:paraId="4AF7B373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Mérföldkövek. </w:t>
      </w:r>
      <w:r>
        <w:t>2031-re működő vízvisszatartási és precíziós programok; 2036-ra mérhető kockázatcsökkenés.</w:t>
      </w:r>
    </w:p>
    <w:p w14:paraId="1BAC1F77" w14:textId="77777777" w:rsidR="00A169A1" w:rsidRDefault="00000000" w:rsidP="0093445C">
      <w:pPr>
        <w:pStyle w:val="Cmsor2"/>
        <w:jc w:val="both"/>
      </w:pPr>
      <w:bookmarkStart w:id="20" w:name="_Toc231682217"/>
      <w:r>
        <w:t xml:space="preserve">4.6 Hatodik pillér — Területi versenyképesség és regionális </w:t>
      </w:r>
      <w:proofErr w:type="spellStart"/>
      <w:r>
        <w:t>újraszervezés</w:t>
      </w:r>
      <w:bookmarkEnd w:id="20"/>
      <w:proofErr w:type="spellEnd"/>
    </w:p>
    <w:p w14:paraId="353FE628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Helyzet és SWOT</w:t>
      </w:r>
    </w:p>
    <w:p w14:paraId="6F6D62C5" w14:textId="77777777" w:rsidR="00A169A1" w:rsidRDefault="00000000" w:rsidP="0093445C">
      <w:pPr>
        <w:spacing w:after="140" w:line="276" w:lineRule="auto"/>
        <w:jc w:val="both"/>
      </w:pPr>
      <w:r>
        <w:t>A területi különbségek nagyok: a központi régió termelékenysége jóval az országos átlag felett van, miközben a lemaradó régiók alatta. A fiatalok elvándorlása a régiókból tovább mélyíti a szakadékot. A válasz a helyi komparatív előnyök intézményes megerősítése, három tértípus szerint differenciálva.</w:t>
      </w:r>
    </w:p>
    <w:p w14:paraId="52732264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Erősségek. </w:t>
      </w:r>
      <w:r>
        <w:t>erős központi régió; meglévő megyei vállalkozásfejlesztési hálózat; helyi komparatív előnyök.</w:t>
      </w:r>
    </w:p>
    <w:p w14:paraId="25FB35DD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Gyengeségek. </w:t>
      </w:r>
      <w:r>
        <w:t xml:space="preserve">nagy területi különbségek; a lemaradó régiók tőke- és </w:t>
      </w:r>
      <w:proofErr w:type="spellStart"/>
      <w:r>
        <w:t>tehetségelszívása</w:t>
      </w:r>
      <w:proofErr w:type="spellEnd"/>
      <w:r>
        <w:t>; gyenge helyi gazdaságszervezés; a fiatalok elvándorlása.</w:t>
      </w:r>
    </w:p>
    <w:p w14:paraId="314E2977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Lehetőségek. </w:t>
      </w:r>
      <w:r>
        <w:t>a komparatív előnyök intézményes megerősítése; a megyei alapítványi hálózat aktiválása; helyben tartó programok; területi klaszterek; távmunka és digitális diffúzió.</w:t>
      </w:r>
    </w:p>
    <w:p w14:paraId="1E998D54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Veszélyek. </w:t>
      </w:r>
      <w:r>
        <w:t>a területi szakadék szétnyílása; lemaradó régiók elnéptelenedése; a központosítás konzerválja a különbségeket.</w:t>
      </w:r>
    </w:p>
    <w:p w14:paraId="03CF93DB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Forgatókönyvek</w:t>
      </w:r>
    </w:p>
    <w:p w14:paraId="4D67DED9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A — </w:t>
      </w:r>
      <w:proofErr w:type="spellStart"/>
      <w:r>
        <w:rPr>
          <w:b/>
          <w:bCs/>
        </w:rPr>
        <w:t>Kiegyenlítődés</w:t>
      </w:r>
      <w:proofErr w:type="spellEnd"/>
      <w:r>
        <w:rPr>
          <w:b/>
          <w:bCs/>
        </w:rPr>
        <w:t xml:space="preserve">. </w:t>
      </w:r>
      <w:r>
        <w:t>a helyi előnyök megerősítése és a digitális diffúzió lassítja a szakadék szétnyílását. (Kockázat: nagy, kedvező; idősáv: 2026–2036; valószínűség: közepes.)</w:t>
      </w:r>
    </w:p>
    <w:p w14:paraId="24DCFDB4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B — Tehetetlenségi. </w:t>
      </w:r>
      <w:r>
        <w:t>a különbségek lassan tovább nőnek. (Kockázat: közepes; idősáv: folyamatos; valószínűség: magas fordulat nélkül.)</w:t>
      </w:r>
    </w:p>
    <w:p w14:paraId="4CFDB82F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C — Szétszakadás. </w:t>
      </w:r>
      <w:r>
        <w:t>a lemaradó régiók elnéptelenednek, a szakadék tartósan szétnyílik. (Kockázat: nagy, kedvezőtlen; idősáv: 2026–2036; valószínűség: közepes.)</w:t>
      </w:r>
    </w:p>
    <w:p w14:paraId="3C8FBC17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Cél</w:t>
      </w:r>
    </w:p>
    <w:p w14:paraId="712F9019" w14:textId="77777777" w:rsidR="00A169A1" w:rsidRDefault="00000000" w:rsidP="0093445C">
      <w:pPr>
        <w:spacing w:after="140" w:line="276" w:lineRule="auto"/>
        <w:jc w:val="both"/>
      </w:pPr>
      <w:r>
        <w:t>A helyi komparatív előnyök intézményes megerősítése; a területi szétszakadás lassítása; a fiatalok helyben tartása; a megyei alapítványi hálózat aktiválása. Három tértípus (vezető, felzárkózó, lemaradó), differenciáltan.</w:t>
      </w:r>
    </w:p>
    <w:p w14:paraId="48B815CE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Eszköz</w:t>
      </w:r>
    </w:p>
    <w:p w14:paraId="59294A17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lastRenderedPageBreak/>
        <w:t xml:space="preserve">Differenciált, három tértípusú megközelítés. </w:t>
      </w:r>
      <w:r>
        <w:t>Vezető, felzárkózó és lemaradó régiók eltérő eszköz-intenzitással.</w:t>
      </w:r>
    </w:p>
    <w:p w14:paraId="200C2E6C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 megyei vállalkozásfejlesztési </w:t>
      </w:r>
      <w:proofErr w:type="gramStart"/>
      <w:r>
        <w:rPr>
          <w:b/>
          <w:bCs/>
        </w:rPr>
        <w:t>alapítványok</w:t>
      </w:r>
      <w:proofErr w:type="gramEnd"/>
      <w:r>
        <w:rPr>
          <w:b/>
          <w:bCs/>
        </w:rPr>
        <w:t xml:space="preserve"> mint helyi végrehajtó. </w:t>
      </w:r>
      <w:r>
        <w:t xml:space="preserve">A </w:t>
      </w:r>
      <w:proofErr w:type="spellStart"/>
      <w:r>
        <w:t>mikrohitel</w:t>
      </w:r>
      <w:proofErr w:type="spellEnd"/>
      <w:r>
        <w:t xml:space="preserve"> helyi végrehajtói (küllői).</w:t>
      </w:r>
    </w:p>
    <w:p w14:paraId="0E5DA574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Helyben tartó programok. </w:t>
      </w:r>
      <w:r>
        <w:t>A fiatalok, a Hazatérők és a helyi vállalkozások számára; területi klaszterszervezés.</w:t>
      </w:r>
    </w:p>
    <w:p w14:paraId="39A0F9CE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Helyi erőforrástérképek és előrejelzés. </w:t>
      </w:r>
      <w:r>
        <w:t>A szakképzés és a nagyvállalati igények megyei összehangolása.</w:t>
      </w:r>
    </w:p>
    <w:p w14:paraId="6F9C232F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Digitális diffúzió és távmunka. </w:t>
      </w:r>
      <w:r>
        <w:t>Kiegyenlítő erőként, a 3. pillérhez kötve.</w:t>
      </w:r>
    </w:p>
    <w:p w14:paraId="53FEA9A0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Intézmény</w:t>
      </w:r>
    </w:p>
    <w:p w14:paraId="6BBE3A29" w14:textId="77777777" w:rsidR="00A169A1" w:rsidRDefault="00000000" w:rsidP="0093445C">
      <w:pPr>
        <w:spacing w:after="140" w:line="276" w:lineRule="auto"/>
        <w:jc w:val="both"/>
      </w:pPr>
      <w:r>
        <w:t>Központ és küllők: a megyei vállalkozásfejlesztési alapítványok a küllők, a központi platform a sztenderdadó; összehangolva a területi kormányzással és a fejlesztési-pénzügyi réteggel. Az EU kohéziós források célhoz kötve, területi szempontból.</w:t>
      </w:r>
    </w:p>
    <w:p w14:paraId="7BCA2B54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KPI-k és mérföldkövek</w:t>
      </w:r>
    </w:p>
    <w:p w14:paraId="15ED4036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Területi szórás. </w:t>
      </w:r>
      <w:r>
        <w:t>a regionális termelékenységi különbségek szétnyílásának lassulása.</w:t>
      </w:r>
    </w:p>
    <w:p w14:paraId="49C5137C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Helyben tartás. </w:t>
      </w:r>
      <w:r>
        <w:t>a fiatalok régiós megtartása; a lemaradó régiók KKV-növekedése.</w:t>
      </w:r>
    </w:p>
    <w:p w14:paraId="28895AE8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Hálózat. </w:t>
      </w:r>
      <w:r>
        <w:t>a megyei alapítványi hálózat aktivitása; klaszterek száma.</w:t>
      </w:r>
    </w:p>
    <w:p w14:paraId="38714E79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Mérföldkövek. </w:t>
      </w:r>
      <w:r>
        <w:t>2031-re aktivált hálózat és helyben tartó programok; 2036-ra mérhető kiegyenlítődési jelek.</w:t>
      </w:r>
    </w:p>
    <w:p w14:paraId="6DDC49C7" w14:textId="77777777" w:rsidR="00A169A1" w:rsidRDefault="00000000" w:rsidP="0093445C">
      <w:pPr>
        <w:pStyle w:val="Cmsor2"/>
        <w:jc w:val="both"/>
      </w:pPr>
      <w:bookmarkStart w:id="21" w:name="_Toc231682218"/>
      <w:r>
        <w:t>4.7 Kiemelt terület — Fejlett gyártás és kettős felhasználású technológiák</w:t>
      </w:r>
      <w:bookmarkEnd w:id="21"/>
    </w:p>
    <w:p w14:paraId="37073E9F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Helyzet és SWOT</w:t>
      </w:r>
    </w:p>
    <w:p w14:paraId="2BFA1FD2" w14:textId="77777777" w:rsidR="00A169A1" w:rsidRDefault="00000000" w:rsidP="0093445C">
      <w:pPr>
        <w:spacing w:after="140" w:line="276" w:lineRule="auto"/>
        <w:jc w:val="both"/>
      </w:pPr>
      <w:r>
        <w:t>Magyarország erős feldolgozóipari és akkumulátoripari bázissal rendelkezik, de jelentős technológiai és kritikus nyersanyagfüggéssel, és gyakran az értéklánc alján. Lehetőség az értéklánc-felkapaszkodás, a kettős felhasználású (civil és védelmi) képesség és a drónökoszisztéma — az EU védelmi finanszírozási eszközére (SAFE) is támaszkodva.</w:t>
      </w:r>
    </w:p>
    <w:p w14:paraId="35A38EC3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Erősségek. </w:t>
      </w:r>
      <w:r>
        <w:t>erős feldolgozóipari és akkumulátoripari bázis; mérnöki és technológiai kapacitás; jó digitális infrastruktúra; meglévő helyi AI és drón-kompetenciák.</w:t>
      </w:r>
    </w:p>
    <w:p w14:paraId="5EA88FA7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Gyengeségek. </w:t>
      </w:r>
      <w:r>
        <w:t>technológiai és kritikus nyersanyagfüggés; alacsony hazai hozzáadott érték az értéklánc alján; gyenge kettős felhasználású és védelmi ipari integráció.</w:t>
      </w:r>
    </w:p>
    <w:p w14:paraId="039BD815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Lehetőségek. </w:t>
      </w:r>
      <w:r>
        <w:t>kettős felhasználású (civil és védelmi) technológiák; drónökoszisztéma (helyi AI-</w:t>
      </w:r>
      <w:proofErr w:type="spellStart"/>
      <w:r>
        <w:t>val</w:t>
      </w:r>
      <w:proofErr w:type="spellEnd"/>
      <w:r>
        <w:t xml:space="preserve"> és precíziós agráriummal összekötve); SAFE-finanszírozás; értéklánc-felkapaszkodás; szövetséges országokba települő termelés.</w:t>
      </w:r>
    </w:p>
    <w:p w14:paraId="0CBD4C03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Veszélyek. </w:t>
      </w:r>
      <w:r>
        <w:t>tartós technológiai függés és értéklánc-alávetettség; geopolitikai sokkok; a védelmi-ipari lehetőség kihasználatlansága; a kritikus nyersanyagok szűkössége.</w:t>
      </w:r>
    </w:p>
    <w:p w14:paraId="5519D346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Forgatókönyvek</w:t>
      </w:r>
    </w:p>
    <w:p w14:paraId="5ACB0982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A — Felkapaszkodás. </w:t>
      </w:r>
      <w:r>
        <w:t>kettős felhasználású program, drónökoszisztéma és értéklánc-felkapaszkodás emeli a hazai hozzáadott értéket. (Kockázat: nagy, kedvező; idősáv: 2026–2036; valószínűség: közepes.)</w:t>
      </w:r>
    </w:p>
    <w:p w14:paraId="3A389B57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t xml:space="preserve">B — Tehetetlenségi. </w:t>
      </w:r>
      <w:r>
        <w:t>megmaradás az értéklánc alján, kihasználatlan védelmi-ipari lehetőség. (Kockázat: közepes; idősáv: folyamatos; valószínűség: magas fordulat nélkül.)</w:t>
      </w:r>
    </w:p>
    <w:p w14:paraId="28AC2DA7" w14:textId="77777777" w:rsidR="00A169A1" w:rsidRDefault="00000000" w:rsidP="0093445C">
      <w:pPr>
        <w:spacing w:after="140" w:line="276" w:lineRule="auto"/>
        <w:jc w:val="both"/>
      </w:pPr>
      <w:r>
        <w:rPr>
          <w:b/>
          <w:bCs/>
        </w:rPr>
        <w:lastRenderedPageBreak/>
        <w:t xml:space="preserve">C — Kitettség. </w:t>
      </w:r>
      <w:r>
        <w:t>tartós technológiai függés és geopolitikai sokkok terhelik az ipart. (Kockázat: nagy, kedvezőtlen; idősáv: bármikor; valószínűség: közepes.)</w:t>
      </w:r>
    </w:p>
    <w:p w14:paraId="7060195C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Cél</w:t>
      </w:r>
    </w:p>
    <w:p w14:paraId="31B9D961" w14:textId="77777777" w:rsidR="00A169A1" w:rsidRDefault="00000000" w:rsidP="0093445C">
      <w:pPr>
        <w:spacing w:after="140" w:line="276" w:lineRule="auto"/>
        <w:jc w:val="both"/>
      </w:pPr>
      <w:r>
        <w:t>Fejlett gyártás és kettős felhasználású (civil és védelmi) képesség; az értéklánc-felkapaszkodás; drónökoszisztéma; a SAFE-finanszírozás kiaknázása; a függés csökkentése és a hazai hozzáadott érték növelése.</w:t>
      </w:r>
    </w:p>
    <w:p w14:paraId="41D53AED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Eszköz</w:t>
      </w:r>
    </w:p>
    <w:p w14:paraId="2C426406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Kettős felhasználású technológiai program. </w:t>
      </w:r>
      <w:r>
        <w:t>Civil és védelmi alkalmazás, SAFE-finanszírozással.</w:t>
      </w:r>
    </w:p>
    <w:p w14:paraId="0A04106D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Drónökoszisztéma. </w:t>
      </w:r>
      <w:r>
        <w:t>Fejlesztés, gyártás és alkalmazás (precíziós agrárium, logisztika, megfigyelés), helyi AI-</w:t>
      </w:r>
      <w:proofErr w:type="spellStart"/>
      <w:r>
        <w:t>val</w:t>
      </w:r>
      <w:proofErr w:type="spellEnd"/>
      <w:r>
        <w:t xml:space="preserve"> — a 3. és 4.5. pillérhez kötve.</w:t>
      </w:r>
    </w:p>
    <w:p w14:paraId="58F6DBB2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Értéklánc-felkapaszkodás és beszállítófejlesztés. </w:t>
      </w:r>
      <w:r>
        <w:t>A nagyvállalati bázishoz kapcsolt KKV-k feljebb lépése.</w:t>
      </w:r>
    </w:p>
    <w:p w14:paraId="11571B0D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Kritikus nyersanyag-stratégia. </w:t>
      </w:r>
      <w:r>
        <w:t>Körforgásos visszanyerés és diverzifikáció, a CRMA-hoz illeszkedve.</w:t>
      </w:r>
    </w:p>
    <w:p w14:paraId="55B57DF7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Hazai hozzáadott érték növelése. </w:t>
      </w:r>
      <w:r>
        <w:t>K+F, kísérleti üzemek, kettős felhasználású tesztkörnyezet.</w:t>
      </w:r>
    </w:p>
    <w:p w14:paraId="2EAE4812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Intézmény</w:t>
      </w:r>
    </w:p>
    <w:p w14:paraId="6F0F9E1F" w14:textId="77777777" w:rsidR="00A169A1" w:rsidRDefault="00000000" w:rsidP="0093445C">
      <w:pPr>
        <w:spacing w:after="140" w:line="276" w:lineRule="auto"/>
        <w:jc w:val="both"/>
      </w:pPr>
      <w:r>
        <w:t>Központ és küllők: az állam adja a sztenderdeket és a biztonsági keretet, a piaci szereplők és konzorciumok a végrehajtást; összehangolva az ipar- és védelempolitikával, a fejlesztési-pénzügyi réteggel és a SAFE-eszközzel. Egyértelmű kettős felhasználású irányítás.</w:t>
      </w:r>
    </w:p>
    <w:p w14:paraId="45320552" w14:textId="77777777" w:rsidR="00A169A1" w:rsidRDefault="00000000" w:rsidP="0093445C">
      <w:pPr>
        <w:spacing w:before="220" w:after="80"/>
        <w:jc w:val="both"/>
      </w:pPr>
      <w:r>
        <w:rPr>
          <w:rFonts w:ascii="Corbel" w:eastAsia="Corbel" w:hAnsi="Corbel" w:cs="Corbel"/>
          <w:b/>
          <w:bCs/>
          <w:color w:val="1E7A34"/>
          <w:sz w:val="23"/>
          <w:szCs w:val="23"/>
        </w:rPr>
        <w:t>KPI-k és mérföldkövek</w:t>
      </w:r>
    </w:p>
    <w:p w14:paraId="2B02F09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Kettős felhasználás. </w:t>
      </w:r>
      <w:r>
        <w:t>kiépített kettős felhasználású képesség; a drónökoszisztéma mérete.</w:t>
      </w:r>
    </w:p>
    <w:p w14:paraId="2AD45D2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Hozzáadott érték. </w:t>
      </w:r>
      <w:r>
        <w:t>a hazai hozzáadottérték-hányad és az értéklánc-felkapaszkodás.</w:t>
      </w:r>
    </w:p>
    <w:p w14:paraId="30062631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Forrás. </w:t>
      </w:r>
      <w:r>
        <w:t>a SAFE- és kapcsolódó források lehívása; kritikus nyersanyag-visszanyerés.</w:t>
      </w:r>
    </w:p>
    <w:p w14:paraId="76F3DFCB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Mérföldkövek. </w:t>
      </w:r>
      <w:r>
        <w:t>2031-re működő kettős felhasználású program és drónökoszisztéma-mag; 2036-ra mérhető értéklánc-felkapaszkodás.</w:t>
      </w:r>
    </w:p>
    <w:p w14:paraId="04DD5F38" w14:textId="77777777" w:rsidR="00A169A1" w:rsidRDefault="00000000" w:rsidP="0093445C">
      <w:pPr>
        <w:pStyle w:val="Cmsor1"/>
        <w:jc w:val="both"/>
      </w:pPr>
      <w:bookmarkStart w:id="22" w:name="_Toc231682219"/>
      <w:r>
        <w:t xml:space="preserve">5. EU-illeszkedés és </w:t>
      </w:r>
      <w:proofErr w:type="gramStart"/>
      <w:r>
        <w:t>EU-alakítás</w:t>
      </w:r>
      <w:bookmarkEnd w:id="22"/>
      <w:proofErr w:type="gramEnd"/>
    </w:p>
    <w:p w14:paraId="3B9A8D2F" w14:textId="77777777" w:rsidR="00A169A1" w:rsidRDefault="00000000" w:rsidP="0093445C">
      <w:pPr>
        <w:spacing w:after="140" w:line="276" w:lineRule="auto"/>
        <w:jc w:val="both"/>
      </w:pPr>
      <w:r>
        <w:t xml:space="preserve">A stratégia EU-konform és </w:t>
      </w:r>
      <w:proofErr w:type="gramStart"/>
      <w:r>
        <w:t>EU-alakító</w:t>
      </w:r>
      <w:proofErr w:type="gramEnd"/>
      <w:r>
        <w:t>. Egyfelől illeszkedik az Európai Unió versenyképességi (</w:t>
      </w:r>
      <w:proofErr w:type="spellStart"/>
      <w:r>
        <w:t>Draghi</w:t>
      </w:r>
      <w:proofErr w:type="spellEnd"/>
      <w:r>
        <w:t>-) menetrendjéhez, és a hazai eszközöket az uniós kerethez igazítja. Másfelől — mivel Magyarország is az Unió társalkotója — konstruktív, evidenciaalapú visszajelzéssel részt vesz a szabályozás alakításában is, ott, ahol a megvalósíthatóság vagy a versenyképesség ezt indokolja. Ez nem akadékoskodás, hanem hozzájárulás az EU saját versenyképességi céljaihoz.</w:t>
      </w:r>
    </w:p>
    <w:tbl>
      <w:tblPr>
        <w:tblW w:w="9752" w:type="dxa"/>
        <w:tblBorders>
          <w:top w:val="single" w:sz="2" w:space="0" w:color="E3EFE5"/>
          <w:left w:val="single" w:sz="26" w:space="0" w:color="C7A14A"/>
          <w:bottom w:val="single" w:sz="2" w:space="0" w:color="E3EFE5"/>
          <w:right w:val="single" w:sz="2" w:space="0" w:color="E3EFE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A169A1" w14:paraId="7D23DDA7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shd w:val="clear" w:color="auto" w:fill="F2F8F3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33271380" w14:textId="77777777" w:rsidR="00A169A1" w:rsidRDefault="00000000" w:rsidP="0093445C">
            <w:pPr>
              <w:spacing w:line="270" w:lineRule="auto"/>
              <w:jc w:val="both"/>
            </w:pPr>
            <w:r>
              <w:rPr>
                <w:b/>
                <w:bCs/>
                <w:color w:val="1E7A34"/>
              </w:rPr>
              <w:t xml:space="preserve">Miért működik az evidenciaalapú visszajelzés. </w:t>
            </w:r>
            <w:r>
              <w:t>A 2035-ös belső égésű motoros tilalom 2025 végi enyhítése (a 100%-os helyett 90%-os CO2-cél, a hibrid és e-üzemanyagok engedélyezése 2035 után) megmutatta, hogy a megvalósíthatósági és versenyképességi érveket felvonultató tagállamok érdemben alakítják a kimenetet. Magyarországnak aktív, érvekkel érkező résztvevőnek kell lennie — nem puszta szabálykövetőnek és nem blokkolónak.</w:t>
            </w:r>
          </w:p>
        </w:tc>
      </w:tr>
    </w:tbl>
    <w:p w14:paraId="63FB4CCC" w14:textId="77777777" w:rsidR="00A169A1" w:rsidRDefault="00A169A1" w:rsidP="0093445C">
      <w:pPr>
        <w:spacing w:after="120"/>
        <w:jc w:val="both"/>
      </w:pPr>
    </w:p>
    <w:p w14:paraId="3ABE1523" w14:textId="77777777" w:rsidR="00A169A1" w:rsidRDefault="00000000" w:rsidP="0093445C">
      <w:pPr>
        <w:spacing w:after="140" w:line="276" w:lineRule="auto"/>
        <w:jc w:val="both"/>
      </w:pPr>
      <w:r>
        <w:t>A megközelítés szelektív és tényalapú: ott emelünk fel ügyet, ahol valódi hazai evidencia áll mögötte. A fő dossziék, ahol Magyarországnak van mit az asztalra tennie:</w:t>
      </w:r>
    </w:p>
    <w:p w14:paraId="293DB031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lastRenderedPageBreak/>
        <w:t xml:space="preserve">Zöld átállás megvalósíthatósága. </w:t>
      </w:r>
      <w:r>
        <w:t xml:space="preserve">Az </w:t>
      </w:r>
      <w:proofErr w:type="spellStart"/>
      <w:r>
        <w:t>elektromobilitás</w:t>
      </w:r>
      <w:proofErr w:type="spellEnd"/>
      <w:r>
        <w:t xml:space="preserve"> és a 2035-ös menetrend infrastrukturális és versenyképességi feltételei, fokozatos, megvalósítható pályával.</w:t>
      </w:r>
    </w:p>
    <w:p w14:paraId="3E9CFE6D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Kritikus nyersanyagok (CRMA). </w:t>
      </w:r>
      <w:r>
        <w:t>Ellátásbiztonság, körforgásos visszanyerés és diverzifikáció — a hazai akkumulátor- és feldolgozóipari kitettség tükrében.</w:t>
      </w:r>
    </w:p>
    <w:p w14:paraId="27D95F09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Energiaár-rés. </w:t>
      </w:r>
      <w:r>
        <w:t>Az ipari energiaár-különbség mint versenyképességi tényező, uniós szintű kezeléssel.</w:t>
      </w:r>
    </w:p>
    <w:p w14:paraId="591FA207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AI </w:t>
      </w:r>
      <w:proofErr w:type="spellStart"/>
      <w:r>
        <w:rPr>
          <w:b/>
          <w:bCs/>
        </w:rPr>
        <w:t>Act</w:t>
      </w:r>
      <w:proofErr w:type="spellEnd"/>
      <w:r>
        <w:rPr>
          <w:b/>
          <w:bCs/>
        </w:rPr>
        <w:t xml:space="preserve"> KKV-arányosság. </w:t>
      </w:r>
      <w:r>
        <w:t>A szabályozás arányos, a kisvállalkozások számára is teljesíthető alkalmazása.</w:t>
      </w:r>
    </w:p>
    <w:p w14:paraId="2D97C481" w14:textId="77777777" w:rsidR="00A169A1" w:rsidRDefault="00000000" w:rsidP="0093445C">
      <w:pPr>
        <w:spacing w:after="140" w:line="276" w:lineRule="auto"/>
        <w:jc w:val="both"/>
      </w:pPr>
      <w:r>
        <w:t>A stratégia az elvet és a fő dossziékat rögzíti; a konkrét mechanizmus — fórumok, evidenciaépítés, felelős egységek, mérföldkövek — a kapcsolódó operatív intézkedési tervben szerepel.</w:t>
      </w:r>
    </w:p>
    <w:p w14:paraId="325A5A29" w14:textId="77777777" w:rsidR="00A169A1" w:rsidRDefault="00000000" w:rsidP="0093445C">
      <w:pPr>
        <w:pStyle w:val="Cmsor1"/>
        <w:jc w:val="both"/>
      </w:pPr>
      <w:bookmarkStart w:id="23" w:name="_Toc231682220"/>
      <w:r>
        <w:t>6. Finanszírozási architektúra</w:t>
      </w:r>
      <w:bookmarkEnd w:id="23"/>
    </w:p>
    <w:p w14:paraId="4F41B3CE" w14:textId="77777777" w:rsidR="00A169A1" w:rsidRDefault="00000000" w:rsidP="0093445C">
      <w:pPr>
        <w:spacing w:after="140" w:line="276" w:lineRule="auto"/>
        <w:jc w:val="both"/>
      </w:pPr>
      <w:r>
        <w:t>A finanszírozás vezérelve a normatív fordulat: ahol lehetséges, a pályázati, diszkrecionális támogatás helyett az átlátható, szabályalapú, normatív eszközök kerülnek előtérbe. Ez egyszerre versenyképesebb, illeszkedik az uniós feltételességi és átláthatósági elvárásokhoz, és — ahogyan a célrendszernél láttuk — maga is bizalomépítő. A magas hiány, adósság és kamatteher miatt a rendszer nem épülhet vissza nem térítendő támogatásokra; szabályokat, garanciákat, vegyes finanszírozást, keresletoldali közbeszerzést és az uniós források okos felhasználását kombinálja.</w:t>
      </w:r>
    </w:p>
    <w:p w14:paraId="269BC8AB" w14:textId="77777777" w:rsidR="00A169A1" w:rsidRDefault="00000000" w:rsidP="0093445C">
      <w:pPr>
        <w:spacing w:after="140" w:line="276" w:lineRule="auto"/>
        <w:jc w:val="both"/>
      </w:pPr>
      <w:r>
        <w:t>A forrásszerkezet három, egymásra épülő rétegből áll:</w:t>
      </w:r>
    </w:p>
    <w:p w14:paraId="416E1200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Nemzeti normatív mag. </w:t>
      </w:r>
      <w:r>
        <w:t xml:space="preserve">Szabályalapú, automatikus, kiszámítható eszközök (például a Vállalkozói Kártya, normatív </w:t>
      </w:r>
      <w:proofErr w:type="spellStart"/>
      <w:r>
        <w:t>utalványek</w:t>
      </w:r>
      <w:proofErr w:type="spellEnd"/>
      <w:r>
        <w:t>, adó- és értékcsökkenési ösztönzők) — ez a tartós rendszer gerince.</w:t>
      </w:r>
    </w:p>
    <w:p w14:paraId="36B56796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Fejlesztési-pénzügyi réteg. </w:t>
      </w:r>
      <w:r>
        <w:t>Fejlesztési-pénzügyi intézmény (MFB), EIF-kezesség és vegyes finanszírozás a skálázható, megtérülő eszközökhöz (</w:t>
      </w:r>
      <w:proofErr w:type="spellStart"/>
      <w:r>
        <w:t>mikrohitel</w:t>
      </w:r>
      <w:proofErr w:type="spellEnd"/>
      <w:r>
        <w:t>, méretnövekedési finanszírozás) — a szűkös közpénz multiplikálására.</w:t>
      </w:r>
    </w:p>
    <w:p w14:paraId="6853BA4F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Célhoz kötött uniós források. </w:t>
      </w:r>
      <w:r>
        <w:t>Kohézió, ESZA+, RRF és SAFE — célhoz kötve és időzítetten, a gyorsításra, nem a tartós rendszer alapjaként.</w:t>
      </w:r>
    </w:p>
    <w:p w14:paraId="6F1F5A37" w14:textId="77777777" w:rsidR="00A169A1" w:rsidRDefault="00000000" w:rsidP="0093445C">
      <w:pPr>
        <w:spacing w:after="140" w:line="276" w:lineRule="auto"/>
        <w:jc w:val="both"/>
      </w:pPr>
      <w:r>
        <w:t>A forrásszerkezet mellett a finanszírozás egy méret és érettség szerinti kontinuumban épül fel, ahol minden szintnek küldetés-koherens szereplője van, és a szereplők kiegészítik, nem kioltják egymást:</w:t>
      </w:r>
    </w:p>
    <w:p w14:paraId="20D4D0F1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Társadalmi célú </w:t>
      </w:r>
      <w:proofErr w:type="spellStart"/>
      <w:r>
        <w:rPr>
          <w:b/>
          <w:bCs/>
        </w:rPr>
        <w:t>mikrofinanszírozás</w:t>
      </w:r>
      <w:proofErr w:type="spellEnd"/>
      <w:r>
        <w:rPr>
          <w:b/>
          <w:bCs/>
        </w:rPr>
        <w:t xml:space="preserve">. </w:t>
      </w:r>
      <w:r>
        <w:t>A legkisebb, fedezet nélküli, EIF-garantált konstrukciók; közhasznú, nonprofit platform (MFKA és a megyei alapítványi hálózat) viszi.</w:t>
      </w:r>
    </w:p>
    <w:p w14:paraId="1F6062D4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MFB által refinanszírozott pénzügyi vállalkozások. </w:t>
      </w:r>
      <w:r>
        <w:t xml:space="preserve">A </w:t>
      </w:r>
      <w:proofErr w:type="spellStart"/>
      <w:r>
        <w:t>mikrohitel</w:t>
      </w:r>
      <w:proofErr w:type="spellEnd"/>
      <w:r>
        <w:t xml:space="preserve"> feletti, nagyobb összegű finanszírozás — a hiányzó középmező áthidalása. A Magyar Fejlesztési Bank nagykereskedelmi (refinanszírozási) forrást nyújt a pénzügyi vállalkozásoknak, amelyek a KKV-knak hiteleznek; ez multiplikálja a közforrást, és bevonja a piac szakosodott, jól szervezett szereplőit.</w:t>
      </w:r>
    </w:p>
    <w:p w14:paraId="4FBC181C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Kereskedelmi banki finanszírozás. </w:t>
      </w:r>
      <w:r>
        <w:t>A bankképes, nagyobb vállalkozások piaci finanszírozása, állami garanciával és kiszámítható kerettel támogatva.</w:t>
      </w:r>
    </w:p>
    <w:p w14:paraId="7DF5D3BE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Növekedési és tőkefinanszírozás (kockázati tőke, állami tőkealapok). </w:t>
      </w:r>
      <w:r>
        <w:t>A kontinuum csúcsa: a valóban skálázható, innovatív és exportképes — köztük a startup — vállalkozások tőkebevonása, állami tőkealapokon és a magántőke becsatornázásán keresztül, az MFB-s és fejlesztési-pénzügyi réteggel összhangban. Ezt szándékosan szelektíven, minőség- és nem mennyiségalapon kezeljük: nem a látványos „</w:t>
      </w:r>
      <w:proofErr w:type="gramStart"/>
      <w:r>
        <w:t>egyszarvú”-</w:t>
      </w:r>
      <w:proofErr w:type="gramEnd"/>
      <w:r>
        <w:t xml:space="preserve">hajsza a cél, hanem a kevés, valóban életképes ötlet támogatása és az alsóbb szintekről ide </w:t>
      </w:r>
      <w:proofErr w:type="spellStart"/>
      <w:r>
        <w:t>felnövő</w:t>
      </w:r>
      <w:proofErr w:type="spellEnd"/>
      <w:r>
        <w:t xml:space="preserve"> vállalkozások számára nyitott út.</w:t>
      </w:r>
    </w:p>
    <w:p w14:paraId="5AC91D9A" w14:textId="77777777" w:rsidR="00A169A1" w:rsidRDefault="00000000" w:rsidP="0093445C">
      <w:pPr>
        <w:spacing w:after="140" w:line="276" w:lineRule="auto"/>
        <w:jc w:val="both"/>
      </w:pPr>
      <w:r>
        <w:lastRenderedPageBreak/>
        <w:t xml:space="preserve">A pénzügyi vállalkozások refinanszírozási </w:t>
      </w:r>
      <w:proofErr w:type="spellStart"/>
      <w:r>
        <w:t>rétege</w:t>
      </w:r>
      <w:proofErr w:type="spellEnd"/>
      <w:r>
        <w:t xml:space="preserve"> tehát nem opcionális kiegészítés, hanem a finanszírozási lánc nélkülözhetetlen, középső láncszeme. A részletes konstrukciók, volumenek és feltételek a finanszírozási alstratégiában és az operatív intézkedési tervben kerülnek kidolgozásra.</w:t>
      </w:r>
    </w:p>
    <w:p w14:paraId="70818744" w14:textId="77777777" w:rsidR="00A169A1" w:rsidRDefault="00000000" w:rsidP="0093445C">
      <w:pPr>
        <w:spacing w:after="140" w:line="276" w:lineRule="auto"/>
        <w:jc w:val="both"/>
      </w:pPr>
      <w:r>
        <w:t xml:space="preserve">A társadalmi célú </w:t>
      </w:r>
      <w:proofErr w:type="spellStart"/>
      <w:r>
        <w:t>mikrofinanszírozás</w:t>
      </w:r>
      <w:proofErr w:type="spellEnd"/>
      <w:r>
        <w:t xml:space="preserve"> stabil működésének előfeltétele egy megfelelő, az európai szakmai ajánlásokkal összhangban álló jogi keret, amely a nonprofit </w:t>
      </w:r>
      <w:proofErr w:type="spellStart"/>
      <w:r>
        <w:t>mikrohitelezésnek</w:t>
      </w:r>
      <w:proofErr w:type="spellEnd"/>
      <w:r>
        <w:t xml:space="preserve"> arányos működési szabályokat ad, és biztosítja a társadalmi célra rendelt közforrások átlátható, célhoz kötött, auditálható felhasználását. Egy több évtizede rendezetlen szabályozási hézag rendezése így a végrehajtás egyik első lépése — részletei az operatív intézkedési tervben.</w:t>
      </w:r>
    </w:p>
    <w:p w14:paraId="342F323E" w14:textId="77777777" w:rsidR="00A169A1" w:rsidRDefault="00000000" w:rsidP="0093445C">
      <w:pPr>
        <w:spacing w:after="140" w:line="276" w:lineRule="auto"/>
        <w:jc w:val="both"/>
      </w:pPr>
      <w:r>
        <w:t>Időzítés: a Helyreállítási és Ellenállóképességi Eszköz (RRF) jelentős része 2026 végéig lehívható, ezért a kész, indítható projekteket előre kell hozni; a védelmi finanszírozási eszköz (SAFE) a kettős felhasználású és drónpillér forrása. A tartós, normatív rendszert ugyanakkor nem szabad egyszeri forrásokra építeni — az egyszeri uniós forrás a gyorsítás, nem az alap.</w:t>
      </w:r>
    </w:p>
    <w:p>
      <w:pPr>
        <w:pStyle w:val="Cmsor2"/>
      </w:pPr>
      <w:r>
        <w:t>6.1 Illusztratív példa: zárt körű vállalkozói pontrendszer</w:t>
      </w:r>
    </w:p>
    <w:p>
      <w:pPr/>
      <w:r>
        <w:t>A normatív, szabályalapú finanszírozási logika egy lehetséges kiegészítő eszköze egy zárt körű, digitális vállalkozói pontrendszer. Ennek keretében az állam a mikro- és kisvállalkozásoknak alanyi jogon, normatív módon biztosít egymás között felhasználható, forgásösztönző pontkeretet, amely belső gazdasági aktivitást és — a kötelezően forintban fizetett ÁFA révén — azonnali adóbevételt generál, miközben a költségvetési terhet időben elnyújtja. Az eszköz nem hitel és nem párhuzamos pénz, hanem zárt körű, kiegészítő fiskális eszköz: a stratégia normatív utalvány-logikájának kiterjesztése.</w:t>
      </w:r>
    </w:p>
    <w:p>
      <w:pPr/>
      <w:r>
        <w:t>Erénye, hogy célzott, mérlegen kívüli és nem adóssággeneráló — ami a szűk fiskális mozgástér mellett különösen értékes —, és beépített gazdaságfehérítő hatású; emellett anticiklikus válságeszközként is működtethető. Bevezetése előtt a jogi és statisztikai besorolás (e-pénz, ESA 2010) előzetes tisztázása, valamint pilot-szakaszban történő kalibráció szükséges, ezért fokozatosan, kísérleti programmal indítva javasolt. A részletes program-leírás, a gazdaságpolitikai mérleg és a hatásvizsgáló eszközök külön dokumentációban érhetők el.</w:t>
      </w:r>
    </w:p>
    <w:p w14:paraId="11A735CA" w14:textId="77777777" w:rsidR="00A169A1" w:rsidRDefault="00000000" w:rsidP="0093445C">
      <w:pPr>
        <w:pStyle w:val="Cmsor1"/>
        <w:jc w:val="both"/>
      </w:pPr>
      <w:bookmarkStart w:id="24" w:name="_Toc231682221"/>
      <w:r>
        <w:t>7. Intézményi és végrehajtási rend</w:t>
      </w:r>
      <w:bookmarkEnd w:id="24"/>
    </w:p>
    <w:p w14:paraId="56C741E0" w14:textId="77777777" w:rsidR="00A169A1" w:rsidRDefault="00000000" w:rsidP="0093445C">
      <w:pPr>
        <w:spacing w:after="140" w:line="276" w:lineRule="auto"/>
        <w:jc w:val="both"/>
      </w:pPr>
      <w:r>
        <w:t xml:space="preserve">A végrehajtás vezérelve a küldetés-koherencia: az intézményi forma a célt követi. A társadalmi célú, fejlesztő feladatokat közhasznú, nonprofit szakmai platform viszi (forrásgazda és sztenderdadó), a skálázható, megtérülő finanszírozást fejlesztési-pénzügyi intézmény. A modell központ és küllők elvű (egy koordináló központ és a hozzá kapcsolódó helyi végrehajtók): a központ adja a sztenderdeket és a közjavakat, a küllők — a megyei vállalkozásfejlesztési alapítványok, a </w:t>
      </w:r>
      <w:proofErr w:type="spellStart"/>
      <w:r>
        <w:t>Mikrohitel</w:t>
      </w:r>
      <w:proofErr w:type="spellEnd"/>
      <w:r>
        <w:t xml:space="preserve"> és Értékesítési Pontok, a digitális innovációs központok (EDIH) és a tanácsadói hálózatok — viszik az ügyfélközeli, utolsó kilométert. Az elv az együttműködés, nem a verseny.</w:t>
      </w:r>
    </w:p>
    <w:p w14:paraId="353710C2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Szerepelosztás. </w:t>
      </w:r>
      <w:r>
        <w:t>Az állam a sztenderdeket, a garanciát, a közjavakat és a kiszámítható szabályokat adja; a hálózat és a piac a specializációt és a végrehajtást.</w:t>
      </w:r>
    </w:p>
    <w:p w14:paraId="1C8AA8E9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Szabályozó és végrehajtó szétválasztása. </w:t>
      </w:r>
      <w:r>
        <w:t>Az állam szabályoz, nem irányít: a szakmai, operatív működtetés nem minisztériumi osztályok vagy állami háttérintézmények kezében van, hanem a küldetés szerint illeszkedő, elszámoltatható testületeknél. A felelősség nem személyek delegálásával, hanem átláthatósággal és nyomon követhetőséggel áll helyre: jegyzőkönyvezett, közzétett döntések és szavazatok, névre szóló felelősség és ellenőrzési nyom — hogy utólag is megállapítható legyen, ki mikor és miért döntött. A normatív, szabályalapú elosztás megszünteti azokat a diszkrecionális szűk pontokat, ahol a visszaélés megül; a végrehajtó testületekre ugyanezek az átláthatósági és összeférhetetlenségi szabályok vonatkoznak.</w:t>
      </w:r>
    </w:p>
    <w:p w14:paraId="0E7EC299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 pályáztatás tiszta kerete. </w:t>
      </w:r>
      <w:r>
        <w:t xml:space="preserve">A pályáztatás visszaszorul a normatív elosztás javára; ahol marad, a funkciók szervezetileg elkülönülnek — programgazda/kiíró, végrehajtó, szakmai ellenőr és pénzügyi ellenőr —, a pályázatok pontozását pedig külső, akkreditált értékelők végzik (uniós mintára), soha nem a kiíró apparátus. A közfeladat nonprofit szervezetek közötti megosztása nem piaci beavatkozás, szemben a profitorientált cégek vissza nem térítendő támogatásával, amely versenytorzító és kerülendő; a normatív tárgyi támogatás (például helyi AI-munkaállomás) pedig ne csak a beszerzéshez, hanem a tényleges, üzleti folyamatba illesztett használathoz </w:t>
      </w:r>
      <w:proofErr w:type="spellStart"/>
      <w:r>
        <w:t>kötődjön</w:t>
      </w:r>
      <w:proofErr w:type="spellEnd"/>
      <w:r>
        <w:t>, arányos, alacsony adminisztrációjú igazolással.</w:t>
      </w:r>
    </w:p>
    <w:p w14:paraId="2FFC13CB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Átlátható, </w:t>
      </w:r>
      <w:proofErr w:type="spellStart"/>
      <w:r>
        <w:rPr>
          <w:b/>
          <w:bCs/>
        </w:rPr>
        <w:t>adatvezérelt</w:t>
      </w:r>
      <w:proofErr w:type="spellEnd"/>
      <w:r>
        <w:rPr>
          <w:b/>
          <w:bCs/>
        </w:rPr>
        <w:t xml:space="preserve">, AI-támogatott irányítás. </w:t>
      </w:r>
      <w:r>
        <w:t>Az állami szervek vállalati erőforrás-tervező (ERP) jellegű, mérőszámokkal (KPI) és mérföldkövekkel követett, átlátható működési modell felé mozdulnak; a döntéshozók valós adatokon alapuló, AI-</w:t>
      </w:r>
      <w:proofErr w:type="spellStart"/>
      <w:r>
        <w:t>val</w:t>
      </w:r>
      <w:proofErr w:type="spellEnd"/>
      <w:r>
        <w:t xml:space="preserve"> támogatott — de nem AI által hozott — információ alapján döntenek. Ez áttöri a szándékosan épített információs burkot: nyomon követhető, hol és kinél akad el </w:t>
      </w:r>
      <w:proofErr w:type="gramStart"/>
      <w:r>
        <w:lastRenderedPageBreak/>
        <w:t>egy ügy,</w:t>
      </w:r>
      <w:proofErr w:type="gramEnd"/>
      <w:r>
        <w:t xml:space="preserve"> és a felelősség személyhez köthető — a hosszú, szemfényvesztő jelentések, az </w:t>
      </w:r>
      <w:proofErr w:type="spellStart"/>
      <w:r>
        <w:t>aktaelsüllyesztés</w:t>
      </w:r>
      <w:proofErr w:type="spellEnd"/>
      <w:r>
        <w:t xml:space="preserve"> és a feladatszabotálás helyett objektív, követhető teljesítmény.</w:t>
      </w:r>
    </w:p>
    <w:p w14:paraId="74900CAA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Az állam példát mutat. </w:t>
      </w:r>
      <w:r>
        <w:t>A közigazgatás saját magán kezdi az AI bevezetését (AI-használati és -biztonsági szabályzat, belső képzés, helyben futó AI-munkaállomás, bizalmas adatkezelésre alkalmas belső tudásbázis) — hitelesség kérdése is: a KKV-któl nem kérhető az, amit az állam maga sem tesz meg.</w:t>
      </w:r>
    </w:p>
    <w:p w14:paraId="5542BF42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Koordináció. </w:t>
      </w:r>
      <w:r>
        <w:t xml:space="preserve">A stratégia átívelő, ezért szükség van egy pilléreken átnyúló koordinációs funkcióra, amely megakadályozza a </w:t>
      </w:r>
      <w:proofErr w:type="spellStart"/>
      <w:r>
        <w:t>silósodást</w:t>
      </w:r>
      <w:proofErr w:type="spellEnd"/>
      <w:r>
        <w:t xml:space="preserve"> és kezeli a pillérek közötti kapcsolódásokat.</w:t>
      </w:r>
    </w:p>
    <w:p w14:paraId="7CB01739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Nemzetközi és legjobb gyakorlat funkció. </w:t>
      </w:r>
      <w:r>
        <w:t>Dedikált funkció az uniós alakításhoz és a nemzetközi legjobb gyakorlatok becsatornázásához (kapcsolódik az 5. fejezethez és a tanuló rendszer elvéhez).</w:t>
      </w:r>
    </w:p>
    <w:p w14:paraId="0A77D428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Felelősségi rend. </w:t>
      </w:r>
      <w:r>
        <w:t>Minden eszköznek egyértelmű gazdája van; a stratégia a logikát rögzíti, a részletes felelősségi mátrixot (RACI) és a mérföldköveket az operatív intézkedési terv.</w:t>
      </w:r>
    </w:p>
    <w:p w14:paraId="3212AC1E" w14:textId="77777777" w:rsidR="00A169A1" w:rsidRDefault="00000000" w:rsidP="0093445C">
      <w:pPr>
        <w:spacing w:after="140" w:line="276" w:lineRule="auto"/>
        <w:jc w:val="both"/>
      </w:pPr>
      <w:r>
        <w:t>A transzparens, szabályalapú, kiszámítható intézményi működés maga is bizalom-helyreállító erő — az intézményi rend a normatív fordulat hordozója.</w:t>
      </w:r>
    </w:p>
    <w:p w14:paraId="1161CD79" w14:textId="77777777" w:rsidR="00A169A1" w:rsidRDefault="00000000" w:rsidP="0093445C">
      <w:pPr>
        <w:pStyle w:val="Cmsor1"/>
        <w:jc w:val="both"/>
      </w:pPr>
      <w:bookmarkStart w:id="25" w:name="_Toc231682222"/>
      <w:r>
        <w:t>8. Monitoring és értékelés</w:t>
      </w:r>
      <w:bookmarkEnd w:id="25"/>
    </w:p>
    <w:p w14:paraId="701454E0" w14:textId="77777777" w:rsidR="00A169A1" w:rsidRDefault="00000000" w:rsidP="0093445C">
      <w:pPr>
        <w:spacing w:after="140" w:line="276" w:lineRule="auto"/>
        <w:jc w:val="both"/>
      </w:pPr>
      <w:r>
        <w:t xml:space="preserve">A stratégia a célhierarchia mind a négy szintjét méri, és a </w:t>
      </w:r>
      <w:proofErr w:type="gramStart"/>
      <w:r>
        <w:t>bizalmat</w:t>
      </w:r>
      <w:proofErr w:type="gramEnd"/>
      <w:r>
        <w:t xml:space="preserve"> mint annak talaját. A mérés nem kimeneti darabszámokra, hanem tényleges hatásra épül, kötelező, kontrollcsoportos (OECD-módszertan szerint) értékeléssel.</w:t>
      </w:r>
    </w:p>
    <w:p w14:paraId="5708FEDF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Versenyképesség és életképesség. </w:t>
      </w:r>
      <w:r>
        <w:t>Gazdasági mutatók: termelékenység (GDP/ledolgozott óra), fajlagos munkaerőköltség (ULC), hozzáadott érték, méretnövekedés, exportképesség és túlélési ráta — a nemzetközileg elfogadott, hivatalos (OECD/Eurostat) mércék szerint.</w:t>
      </w:r>
    </w:p>
    <w:p w14:paraId="0F26A7A0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Válságállóság és alkalmazkodóképesség. </w:t>
      </w:r>
      <w:r>
        <w:t xml:space="preserve">Rendszermutatók: kitettség- és függőségcsökkenés, helyettesíthetőség, </w:t>
      </w:r>
      <w:proofErr w:type="spellStart"/>
      <w:r>
        <w:t>újraképzési</w:t>
      </w:r>
      <w:proofErr w:type="spellEnd"/>
      <w:r>
        <w:t xml:space="preserve"> és adaptációs ráta.</w:t>
      </w:r>
    </w:p>
    <w:p w14:paraId="58F96D34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Elégedettség és boldogság. </w:t>
      </w:r>
      <w:r>
        <w:t>Jóllét-indikátorok — a stratégia végső társadalmi kimenete.</w:t>
      </w:r>
    </w:p>
    <w:p w14:paraId="73DF5A0D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Bizalom és kereslet. </w:t>
      </w:r>
      <w:r>
        <w:t>Vállalkozói szándék, túlélési ráta, hazatérési arány, beruházási hajlandóság.</w:t>
      </w:r>
    </w:p>
    <w:p w14:paraId="5A8E8FB8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rPr>
          <w:b/>
          <w:bCs/>
        </w:rPr>
        <w:t xml:space="preserve">Vállalati szintű versenyképesség. </w:t>
      </w:r>
      <w:r>
        <w:t xml:space="preserve">A vállalkozói versenyképességi önértékelés (kidolgozás alatt) a kompetenciaterületeket méri — erőforrások, folyamatok, vezetés, fejlesztés; </w:t>
      </w:r>
      <w:proofErr w:type="spellStart"/>
      <w:r>
        <w:t>anonimizált</w:t>
      </w:r>
      <w:proofErr w:type="spellEnd"/>
      <w:r>
        <w:t>, aggregált eredménye a szektor versenyképességéről ad valós idejű, AI-támogatott képet, és a fejlesztési csomag célzását is segíti.</w:t>
      </w:r>
    </w:p>
    <w:p w14:paraId="2A2C6E5F" w14:textId="77777777" w:rsidR="00A169A1" w:rsidRDefault="00000000" w:rsidP="0093445C">
      <w:pPr>
        <w:spacing w:after="140" w:line="276" w:lineRule="auto"/>
        <w:jc w:val="both"/>
      </w:pPr>
      <w:r>
        <w:t>A végcélokat (állapot) és a képességcélokat (az oda vezető képesség) a mérésben is elkülönítjük. A stratégiát éves eredménytábla, kétévenkénti mélyfelülvizsgálat és ötévenkénti korrekció kíséri; a mutatók nyilvánosak, ami szintén a bizalmat erősíti. A részletes indikátor-definíciók és adatforrások a mellékletekben szerepelnek.</w:t>
      </w:r>
    </w:p>
    <w:p w14:paraId="0592F4E7" w14:textId="77777777" w:rsidR="00A169A1" w:rsidRDefault="00000000" w:rsidP="0093445C">
      <w:pPr>
        <w:pStyle w:val="Cmsor1"/>
        <w:jc w:val="both"/>
      </w:pPr>
      <w:bookmarkStart w:id="26" w:name="_Toc231682223"/>
      <w:r>
        <w:t>9. Mellékletek és a stratégia folytatása</w:t>
      </w:r>
      <w:bookmarkEnd w:id="26"/>
    </w:p>
    <w:p w14:paraId="71C9F2D8" w14:textId="77777777" w:rsidR="00A169A1" w:rsidRDefault="00000000" w:rsidP="0093445C">
      <w:pPr>
        <w:spacing w:after="140" w:line="276" w:lineRule="auto"/>
        <w:jc w:val="both"/>
      </w:pPr>
      <w:r>
        <w:t>A stratégiát a következő mellékletek egészítik ki (kidolgozás alatt):</w:t>
      </w:r>
    </w:p>
    <w:p w14:paraId="6B7639C2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t>Ágazati részletek — az egyes pillérek mélyebb kifejtése.</w:t>
      </w:r>
    </w:p>
    <w:p w14:paraId="3192B9E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t>Indikátor-definíciók és adatforrások.</w:t>
      </w:r>
    </w:p>
    <w:p w14:paraId="64F247C0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proofErr w:type="spellStart"/>
      <w:r>
        <w:t>Projektpipeline</w:t>
      </w:r>
      <w:proofErr w:type="spellEnd"/>
      <w:r>
        <w:t xml:space="preserve"> és kész, indítható projektek.</w:t>
      </w:r>
    </w:p>
    <w:p w14:paraId="3DB78E7B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t>Finanszírozási táblák és forgatókönyvek.</w:t>
      </w:r>
    </w:p>
    <w:p w14:paraId="45E1D695" w14:textId="77777777" w:rsidR="00A169A1" w:rsidRDefault="00000000" w:rsidP="0093445C">
      <w:pPr>
        <w:pStyle w:val="Listaszerbekezds"/>
        <w:numPr>
          <w:ilvl w:val="0"/>
          <w:numId w:val="2"/>
        </w:numPr>
        <w:spacing w:after="90" w:line="270" w:lineRule="auto"/>
        <w:jc w:val="both"/>
      </w:pPr>
      <w:r>
        <w:t>Módszertani hivatkozások (FGSZF/STK, OECD, uniós keretek).</w:t>
      </w:r>
    </w:p>
    <w:p w14:paraId="03F1DA10" w14:textId="77777777" w:rsidR="00A169A1" w:rsidRDefault="00000000" w:rsidP="0093445C">
      <w:pPr>
        <w:spacing w:after="140" w:line="276" w:lineRule="auto"/>
        <w:jc w:val="both"/>
      </w:pPr>
      <w:r>
        <w:lastRenderedPageBreak/>
        <w:t>Ez a dokumentum a stabil keretet adó Stratégia teljes tervezete: a megalapozás, a célrendszer, mind a hét pillér és a záró fejezetek. Erre épül — külön dokumentumként — a gyakrabban frissülő operatív intézkedési terv (cél–eszköz–intézmény–mérföldkő–indikátor bontásban), valamint a részletesebb KKV- és AI-alstratégia, amely a fő stratégia logikáját bontja ki alrendszerként.</w:t>
      </w:r>
    </w:p>
    <w:sectPr w:rsidR="00A169A1">
      <w:headerReference w:type="default" r:id="rId7"/>
      <w:footerReference w:type="default" r:id="rId8"/>
      <w:pgSz w:w="11906" w:h="16838"/>
      <w:pgMar w:top="141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8BFA" w14:textId="77777777" w:rsidR="00CE0B5C" w:rsidRDefault="00CE0B5C">
      <w:r>
        <w:separator/>
      </w:r>
    </w:p>
  </w:endnote>
  <w:endnote w:type="continuationSeparator" w:id="0">
    <w:p w14:paraId="53BF00EF" w14:textId="77777777" w:rsidR="00CE0B5C" w:rsidRDefault="00CE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2587" w14:textId="77777777" w:rsidR="00A169A1" w:rsidRDefault="00000000">
    <w:pPr>
      <w:pBdr>
        <w:top w:val="single" w:sz="6" w:space="4" w:color="1E7A34"/>
      </w:pBdr>
      <w:tabs>
        <w:tab w:val="right" w:pos="9026"/>
      </w:tabs>
      <w:spacing w:before="60"/>
    </w:pPr>
    <w:r>
      <w:rPr>
        <w:rFonts w:ascii="Corbel" w:eastAsia="Corbel" w:hAnsi="Corbel" w:cs="Corbel"/>
        <w:color w:val="6F6F6F"/>
        <w:sz w:val="16"/>
        <w:szCs w:val="16"/>
      </w:rPr>
      <w:t>MFKA · gazdaság- és versenyképesség-fejlesztő stratégia (tervezet)</w:t>
    </w:r>
    <w:r>
      <w:rPr>
        <w:rFonts w:ascii="Corbel" w:eastAsia="Corbel" w:hAnsi="Corbel" w:cs="Corbel"/>
        <w:color w:val="6F6F6F"/>
        <w:sz w:val="16"/>
        <w:szCs w:val="16"/>
      </w:rPr>
      <w:tab/>
      <w:t xml:space="preserve">Oldal </w:t>
    </w:r>
    <w:r>
      <w:rPr>
        <w:rFonts w:ascii="Corbel" w:eastAsia="Corbel" w:hAnsi="Corbel" w:cs="Corbel"/>
        <w:color w:val="6F6F6F"/>
        <w:sz w:val="16"/>
        <w:szCs w:val="16"/>
      </w:rPr>
      <w:fldChar w:fldCharType="begin"/>
    </w:r>
    <w:r>
      <w:rPr>
        <w:rFonts w:ascii="Corbel" w:eastAsia="Corbel" w:hAnsi="Corbel" w:cs="Corbel"/>
        <w:color w:val="6F6F6F"/>
        <w:sz w:val="16"/>
        <w:szCs w:val="16"/>
      </w:rPr>
      <w:instrText>PAGE</w:instrText>
    </w:r>
    <w:r>
      <w:rPr>
        <w:rFonts w:ascii="Corbel" w:eastAsia="Corbel" w:hAnsi="Corbel" w:cs="Corbel"/>
        <w:color w:val="6F6F6F"/>
        <w:sz w:val="16"/>
        <w:szCs w:val="16"/>
      </w:rPr>
      <w:fldChar w:fldCharType="separate"/>
    </w:r>
    <w:r w:rsidR="0093445C">
      <w:rPr>
        <w:rFonts w:ascii="Corbel" w:eastAsia="Corbel" w:hAnsi="Corbel" w:cs="Corbel"/>
        <w:noProof/>
        <w:color w:val="6F6F6F"/>
        <w:sz w:val="16"/>
        <w:szCs w:val="16"/>
      </w:rPr>
      <w:t>2</w:t>
    </w:r>
    <w:r>
      <w:rPr>
        <w:rFonts w:ascii="Corbel" w:eastAsia="Corbel" w:hAnsi="Corbel" w:cs="Corbel"/>
        <w:color w:val="6F6F6F"/>
        <w:sz w:val="16"/>
        <w:szCs w:val="16"/>
      </w:rPr>
      <w:fldChar w:fldCharType="end"/>
    </w:r>
    <w:r>
      <w:rPr>
        <w:rFonts w:ascii="Corbel" w:eastAsia="Corbel" w:hAnsi="Corbel" w:cs="Corbel"/>
        <w:color w:val="6F6F6F"/>
        <w:sz w:val="16"/>
        <w:szCs w:val="16"/>
      </w:rPr>
      <w:t xml:space="preserve"> / </w:t>
    </w:r>
    <w:r>
      <w:rPr>
        <w:rFonts w:ascii="Corbel" w:eastAsia="Corbel" w:hAnsi="Corbel" w:cs="Corbel"/>
        <w:color w:val="6F6F6F"/>
        <w:sz w:val="16"/>
        <w:szCs w:val="16"/>
      </w:rPr>
      <w:fldChar w:fldCharType="begin"/>
    </w:r>
    <w:r>
      <w:rPr>
        <w:rFonts w:ascii="Corbel" w:eastAsia="Corbel" w:hAnsi="Corbel" w:cs="Corbel"/>
        <w:color w:val="6F6F6F"/>
        <w:sz w:val="16"/>
        <w:szCs w:val="16"/>
      </w:rPr>
      <w:instrText>NUMPAGES</w:instrText>
    </w:r>
    <w:r>
      <w:rPr>
        <w:rFonts w:ascii="Corbel" w:eastAsia="Corbel" w:hAnsi="Corbel" w:cs="Corbel"/>
        <w:color w:val="6F6F6F"/>
        <w:sz w:val="16"/>
        <w:szCs w:val="16"/>
      </w:rPr>
      <w:fldChar w:fldCharType="separate"/>
    </w:r>
    <w:r w:rsidR="0093445C">
      <w:rPr>
        <w:rFonts w:ascii="Corbel" w:eastAsia="Corbel" w:hAnsi="Corbel" w:cs="Corbel"/>
        <w:noProof/>
        <w:color w:val="6F6F6F"/>
        <w:sz w:val="16"/>
        <w:szCs w:val="16"/>
      </w:rPr>
      <w:t>3</w:t>
    </w:r>
    <w:r>
      <w:rPr>
        <w:rFonts w:ascii="Corbel" w:eastAsia="Corbel" w:hAnsi="Corbel" w:cs="Corbel"/>
        <w:color w:val="6F6F6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65B9" w14:textId="77777777" w:rsidR="00CE0B5C" w:rsidRDefault="00CE0B5C">
      <w:r>
        <w:separator/>
      </w:r>
    </w:p>
  </w:footnote>
  <w:footnote w:type="continuationSeparator" w:id="0">
    <w:p w14:paraId="53EE0677" w14:textId="77777777" w:rsidR="00CE0B5C" w:rsidRDefault="00CE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C012" w14:textId="77777777" w:rsidR="00A169A1" w:rsidRDefault="00000000">
    <w:pPr>
      <w:pBdr>
        <w:bottom w:val="single" w:sz="6" w:space="4" w:color="1E7A34"/>
      </w:pBdr>
      <w:tabs>
        <w:tab w:val="right" w:pos="9026"/>
      </w:tabs>
      <w:spacing w:after="60"/>
    </w:pPr>
    <w:r>
      <w:rPr>
        <w:rFonts w:ascii="Corbel" w:eastAsia="Corbel" w:hAnsi="Corbel" w:cs="Corbel"/>
        <w:color w:val="404040"/>
        <w:sz w:val="16"/>
        <w:szCs w:val="16"/>
      </w:rPr>
      <w:t>MFKA</w:t>
    </w:r>
    <w:r>
      <w:rPr>
        <w:rFonts w:ascii="Corbel" w:eastAsia="Corbel" w:hAnsi="Corbel" w:cs="Corbel"/>
        <w:color w:val="404040"/>
        <w:sz w:val="16"/>
        <w:szCs w:val="16"/>
      </w:rPr>
      <w:tab/>
      <w:t>Gazdaság- és versenyképesség-fejlesztő stratégia 2026–2036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117FB"/>
    <w:multiLevelType w:val="hybridMultilevel"/>
    <w:tmpl w:val="754A25CE"/>
    <w:lvl w:ilvl="0" w:tplc="A81CDE06">
      <w:start w:val="1"/>
      <w:numFmt w:val="bullet"/>
      <w:lvlText w:val="•"/>
      <w:lvlJc w:val="left"/>
      <w:pPr>
        <w:ind w:left="540" w:hanging="280"/>
      </w:pPr>
      <w:rPr>
        <w:color w:val="1E7A34"/>
      </w:rPr>
    </w:lvl>
    <w:lvl w:ilvl="1" w:tplc="49B6508C">
      <w:numFmt w:val="decimal"/>
      <w:lvlText w:val=""/>
      <w:lvlJc w:val="left"/>
    </w:lvl>
    <w:lvl w:ilvl="2" w:tplc="6D08445E">
      <w:numFmt w:val="decimal"/>
      <w:lvlText w:val=""/>
      <w:lvlJc w:val="left"/>
    </w:lvl>
    <w:lvl w:ilvl="3" w:tplc="1F5A4708">
      <w:numFmt w:val="decimal"/>
      <w:lvlText w:val=""/>
      <w:lvlJc w:val="left"/>
    </w:lvl>
    <w:lvl w:ilvl="4" w:tplc="7EA8521E">
      <w:numFmt w:val="decimal"/>
      <w:lvlText w:val=""/>
      <w:lvlJc w:val="left"/>
    </w:lvl>
    <w:lvl w:ilvl="5" w:tplc="C6625502">
      <w:numFmt w:val="decimal"/>
      <w:lvlText w:val=""/>
      <w:lvlJc w:val="left"/>
    </w:lvl>
    <w:lvl w:ilvl="6" w:tplc="BCCC93C8">
      <w:numFmt w:val="decimal"/>
      <w:lvlText w:val=""/>
      <w:lvlJc w:val="left"/>
    </w:lvl>
    <w:lvl w:ilvl="7" w:tplc="CE040ACC">
      <w:numFmt w:val="decimal"/>
      <w:lvlText w:val=""/>
      <w:lvlJc w:val="left"/>
    </w:lvl>
    <w:lvl w:ilvl="8" w:tplc="A8F690AE">
      <w:numFmt w:val="decimal"/>
      <w:lvlText w:val=""/>
      <w:lvlJc w:val="left"/>
    </w:lvl>
  </w:abstractNum>
  <w:abstractNum w:abstractNumId="1" w15:restartNumberingAfterBreak="0">
    <w:nsid w:val="7EE736B8"/>
    <w:multiLevelType w:val="hybridMultilevel"/>
    <w:tmpl w:val="DB583D0C"/>
    <w:lvl w:ilvl="0" w:tplc="7CF2B0F8">
      <w:start w:val="1"/>
      <w:numFmt w:val="bullet"/>
      <w:lvlText w:val="●"/>
      <w:lvlJc w:val="left"/>
      <w:pPr>
        <w:ind w:left="720" w:hanging="360"/>
      </w:pPr>
    </w:lvl>
    <w:lvl w:ilvl="1" w:tplc="9E16585A">
      <w:start w:val="1"/>
      <w:numFmt w:val="bullet"/>
      <w:lvlText w:val="○"/>
      <w:lvlJc w:val="left"/>
      <w:pPr>
        <w:ind w:left="1440" w:hanging="360"/>
      </w:pPr>
    </w:lvl>
    <w:lvl w:ilvl="2" w:tplc="041C0E4A">
      <w:start w:val="1"/>
      <w:numFmt w:val="bullet"/>
      <w:lvlText w:val="■"/>
      <w:lvlJc w:val="left"/>
      <w:pPr>
        <w:ind w:left="2160" w:hanging="360"/>
      </w:pPr>
    </w:lvl>
    <w:lvl w:ilvl="3" w:tplc="A8BCAB5A">
      <w:start w:val="1"/>
      <w:numFmt w:val="bullet"/>
      <w:lvlText w:val="●"/>
      <w:lvlJc w:val="left"/>
      <w:pPr>
        <w:ind w:left="2880" w:hanging="360"/>
      </w:pPr>
    </w:lvl>
    <w:lvl w:ilvl="4" w:tplc="35EE7416">
      <w:start w:val="1"/>
      <w:numFmt w:val="bullet"/>
      <w:lvlText w:val="○"/>
      <w:lvlJc w:val="left"/>
      <w:pPr>
        <w:ind w:left="3600" w:hanging="360"/>
      </w:pPr>
    </w:lvl>
    <w:lvl w:ilvl="5" w:tplc="E36A194C">
      <w:start w:val="1"/>
      <w:numFmt w:val="bullet"/>
      <w:lvlText w:val="■"/>
      <w:lvlJc w:val="left"/>
      <w:pPr>
        <w:ind w:left="4320" w:hanging="360"/>
      </w:pPr>
    </w:lvl>
    <w:lvl w:ilvl="6" w:tplc="FF8095D8">
      <w:start w:val="1"/>
      <w:numFmt w:val="bullet"/>
      <w:lvlText w:val="●"/>
      <w:lvlJc w:val="left"/>
      <w:pPr>
        <w:ind w:left="5040" w:hanging="360"/>
      </w:pPr>
    </w:lvl>
    <w:lvl w:ilvl="7" w:tplc="20A0DA76">
      <w:start w:val="1"/>
      <w:numFmt w:val="bullet"/>
      <w:lvlText w:val="●"/>
      <w:lvlJc w:val="left"/>
      <w:pPr>
        <w:ind w:left="5760" w:hanging="360"/>
      </w:pPr>
    </w:lvl>
    <w:lvl w:ilvl="8" w:tplc="68F4F582">
      <w:start w:val="1"/>
      <w:numFmt w:val="bullet"/>
      <w:lvlText w:val="●"/>
      <w:lvlJc w:val="left"/>
      <w:pPr>
        <w:ind w:left="6480" w:hanging="360"/>
      </w:pPr>
    </w:lvl>
  </w:abstractNum>
  <w:num w:numId="1" w16cid:durableId="482088469">
    <w:abstractNumId w:val="1"/>
    <w:lvlOverride w:ilvl="0">
      <w:startOverride w:val="1"/>
    </w:lvlOverride>
  </w:num>
  <w:num w:numId="2" w16cid:durableId="18632752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9A1"/>
    <w:rsid w:val="006251F7"/>
    <w:rsid w:val="0093445C"/>
    <w:rsid w:val="00A169A1"/>
    <w:rsid w:val="00C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3E40"/>
  <w15:docId w15:val="{0FFE20E6-DEE9-4ED2-A392-A0FDCCEF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B2B2B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spacing w:before="300" w:after="140"/>
      <w:outlineLvl w:val="0"/>
    </w:pPr>
    <w:rPr>
      <w:rFonts w:ascii="Corbel" w:eastAsia="Corbel" w:hAnsi="Corbel" w:cs="Corbel"/>
      <w:b/>
      <w:bCs/>
      <w:color w:val="1E7A34"/>
      <w:sz w:val="32"/>
      <w:szCs w:val="32"/>
    </w:rPr>
  </w:style>
  <w:style w:type="paragraph" w:styleId="Cmsor2">
    <w:name w:val="heading 2"/>
    <w:uiPriority w:val="9"/>
    <w:unhideWhenUsed/>
    <w:qFormat/>
    <w:pPr>
      <w:spacing w:before="220" w:after="100"/>
      <w:outlineLvl w:val="1"/>
    </w:pPr>
    <w:rPr>
      <w:rFonts w:ascii="Corbel" w:eastAsia="Corbel" w:hAnsi="Corbel" w:cs="Corbel"/>
      <w:b/>
      <w:bCs/>
      <w:color w:val="1E7A34"/>
      <w:sz w:val="25"/>
      <w:szCs w:val="25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character" w:styleId="Vgjegyzet-hivatkozs">
    <w:name w:val="endnote reference"/>
    <w:uiPriority w:val="99"/>
    <w:semiHidden/>
    <w:unhideWhenUsed/>
    <w:rPr>
      <w:vertAlign w:val="superscript"/>
    </w:rPr>
  </w:style>
  <w:style w:type="paragraph" w:styleId="Vgjegyzetszvege">
    <w:name w:val="endnote text"/>
    <w:link w:val="VgjegyzetszvegeChar"/>
    <w:uiPriority w:val="99"/>
    <w:semiHidden/>
    <w:unhideWhenUsed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unhideWhenUsed/>
    <w:rPr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rsid w:val="0093445C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3445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7870</Words>
  <Characters>54304</Characters>
  <Application>Microsoft Office Word</Application>
  <DocSecurity>0</DocSecurity>
  <Lines>452</Lines>
  <Paragraphs>124</Paragraphs>
  <ScaleCrop>false</ScaleCrop>
  <Company/>
  <LinksUpToDate>false</LinksUpToDate>
  <CharactersWithSpaces>62050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Gazdaság- és versenyképesség-fejlesztő stratégia 2026–2036</dc:title>
  <dc:creator>MAGYAR FENNTARTHATÓSÁGI KÖZPONT Alapítvány</dc:creator>
  <cp:lastModifiedBy>Tibor</cp:lastModifiedBy>
  <cp:revision>2</cp:revision>
  <dcterms:created xsi:type="dcterms:W3CDTF">2026-06-06T21:45:00Z</dcterms:created>
  <dcterms:modified xsi:type="dcterms:W3CDTF">2026-06-06T21:50:00Z</dcterms:modified>
</cp:coreProperties>
</file>