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15971" w14:textId="77777777" w:rsidR="00620E68" w:rsidRDefault="00620E68" w:rsidP="00626F2E">
      <w:pPr>
        <w:spacing w:after="260"/>
        <w:jc w:val="both"/>
      </w:pPr>
    </w:p>
    <w:tbl>
      <w:tblPr>
        <w:tblW w:w="9752" w:type="dxa"/>
        <w:tblBorders>
          <w:top w:val="single" w:sz="2" w:space="0" w:color="1E7A34"/>
          <w:left w:val="single" w:sz="2" w:space="0" w:color="1E7A34"/>
          <w:bottom w:val="single" w:sz="2" w:space="0" w:color="1E7A34"/>
          <w:right w:val="single" w:sz="2" w:space="0" w:color="1E7A34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2"/>
      </w:tblGrid>
      <w:tr w:rsidR="00620E68" w14:paraId="678991E7" w14:textId="77777777">
        <w:tblPrEx>
          <w:tblCellMar>
            <w:top w:w="0" w:type="dxa"/>
            <w:bottom w:w="0" w:type="dxa"/>
          </w:tblCellMar>
        </w:tblPrEx>
        <w:tc>
          <w:tcPr>
            <w:tcW w:w="9752" w:type="dxa"/>
            <w:tcBorders>
              <w:top w:val="single" w:sz="2" w:space="0" w:color="1E7A34"/>
              <w:left w:val="single" w:sz="2" w:space="0" w:color="1E7A34"/>
              <w:bottom w:val="single" w:sz="2" w:space="0" w:color="1E7A34"/>
              <w:right w:val="single" w:sz="2" w:space="0" w:color="1E7A34"/>
            </w:tcBorders>
            <w:shd w:val="clear" w:color="auto" w:fill="1E7A34"/>
            <w:tcMar>
              <w:top w:w="340" w:type="dxa"/>
              <w:left w:w="300" w:type="dxa"/>
              <w:bottom w:w="340" w:type="dxa"/>
              <w:right w:w="300" w:type="dxa"/>
            </w:tcMar>
          </w:tcPr>
          <w:p w14:paraId="04F14049" w14:textId="77777777" w:rsidR="00620E68" w:rsidRDefault="00000000" w:rsidP="00626F2E">
            <w:pPr>
              <w:spacing w:after="110"/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6"/>
                <w:szCs w:val="16"/>
              </w:rPr>
              <w:t>MELLÉKLET · A STRATÉGIA MONITORINGJÁHOZ</w:t>
            </w:r>
          </w:p>
          <w:p w14:paraId="363BEA4A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30"/>
                <w:szCs w:val="30"/>
              </w:rPr>
              <w:t>Versenyképességi mérési keret</w:t>
            </w:r>
          </w:p>
          <w:p w14:paraId="3397F472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30"/>
                <w:szCs w:val="30"/>
              </w:rPr>
              <w:t>és KPI-</w:t>
            </w:r>
            <w:proofErr w:type="spellStart"/>
            <w:r>
              <w:rPr>
                <w:rFonts w:ascii="Corbel" w:eastAsia="Corbel" w:hAnsi="Corbel" w:cs="Corbel"/>
                <w:b/>
                <w:bCs/>
                <w:color w:val="FFFFFF"/>
                <w:sz w:val="30"/>
                <w:szCs w:val="30"/>
              </w:rPr>
              <w:t>dashboard</w:t>
            </w:r>
            <w:proofErr w:type="spellEnd"/>
          </w:p>
        </w:tc>
      </w:tr>
    </w:tbl>
    <w:p w14:paraId="23AF389D" w14:textId="77777777" w:rsidR="00620E68" w:rsidRDefault="00620E68" w:rsidP="00626F2E">
      <w:pPr>
        <w:spacing w:after="280"/>
        <w:jc w:val="both"/>
      </w:pPr>
    </w:p>
    <w:p w14:paraId="141BB5E1" w14:textId="77777777" w:rsidR="00620E68" w:rsidRDefault="00000000" w:rsidP="00626F2E">
      <w:pPr>
        <w:spacing w:after="130" w:line="300" w:lineRule="auto"/>
        <w:jc w:val="both"/>
      </w:pPr>
      <w:r>
        <w:rPr>
          <w:rFonts w:ascii="Corbel" w:eastAsia="Corbel" w:hAnsi="Corbel" w:cs="Corbel"/>
          <w:color w:val="404040"/>
          <w:sz w:val="25"/>
          <w:szCs w:val="25"/>
        </w:rPr>
        <w:t>Háromszintű, kompakt indikátorrendszer a gazdaság- és versenyképesség-fejlesztő stratégiához</w:t>
      </w:r>
    </w:p>
    <w:p w14:paraId="061D4039" w14:textId="77777777" w:rsidR="00620E68" w:rsidRDefault="00000000" w:rsidP="00626F2E">
      <w:pPr>
        <w:spacing w:after="340"/>
        <w:jc w:val="both"/>
      </w:pPr>
      <w:r>
        <w:rPr>
          <w:i/>
          <w:iCs/>
          <w:color w:val="6F6F6F"/>
        </w:rPr>
        <w:t>Saját, operatív KPI-rendszer — nem nemzetközi rangsorok hajszolása.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7152"/>
      </w:tblGrid>
      <w:tr w:rsidR="00620E68" w14:paraId="3536B6D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B358920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1E7A34"/>
                <w:sz w:val="20"/>
                <w:szCs w:val="20"/>
              </w:rPr>
              <w:t>Verzió</w:t>
            </w:r>
          </w:p>
        </w:tc>
        <w:tc>
          <w:tcPr>
            <w:tcW w:w="71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3FDA4FDD" w14:textId="77777777" w:rsidR="00620E68" w:rsidRDefault="00000000" w:rsidP="00626F2E">
            <w:pPr>
              <w:jc w:val="both"/>
            </w:pPr>
            <w:r>
              <w:rPr>
                <w:sz w:val="20"/>
                <w:szCs w:val="20"/>
              </w:rPr>
              <w:t>v0.1</w:t>
            </w:r>
          </w:p>
        </w:tc>
      </w:tr>
      <w:tr w:rsidR="00620E68" w14:paraId="23D072DC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0F102820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1E7A34"/>
                <w:sz w:val="20"/>
                <w:szCs w:val="20"/>
              </w:rPr>
              <w:t>Dátum</w:t>
            </w:r>
          </w:p>
        </w:tc>
        <w:tc>
          <w:tcPr>
            <w:tcW w:w="71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79E00FF0" w14:textId="77777777" w:rsidR="00620E68" w:rsidRDefault="00000000" w:rsidP="00626F2E">
            <w:pPr>
              <w:jc w:val="both"/>
            </w:pPr>
            <w:r>
              <w:rPr>
                <w:sz w:val="20"/>
                <w:szCs w:val="20"/>
              </w:rPr>
              <w:t>2026. június</w:t>
            </w:r>
          </w:p>
        </w:tc>
      </w:tr>
      <w:tr w:rsidR="00620E68" w14:paraId="3178D67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0ED32164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1E7A34"/>
                <w:sz w:val="20"/>
                <w:szCs w:val="20"/>
              </w:rPr>
              <w:t>Státusz</w:t>
            </w:r>
          </w:p>
        </w:tc>
        <w:tc>
          <w:tcPr>
            <w:tcW w:w="71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54B4A709" w14:textId="77777777" w:rsidR="00620E68" w:rsidRDefault="00000000" w:rsidP="00626F2E">
            <w:pPr>
              <w:jc w:val="both"/>
            </w:pPr>
            <w:r>
              <w:rPr>
                <w:sz w:val="20"/>
                <w:szCs w:val="20"/>
              </w:rPr>
              <w:t>Munkaanyag — a bázis- és célértékek kitöltésre várnak</w:t>
            </w:r>
          </w:p>
        </w:tc>
      </w:tr>
      <w:tr w:rsidR="00620E68" w14:paraId="4BBB7D7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03C8770A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1E7A34"/>
                <w:sz w:val="20"/>
                <w:szCs w:val="20"/>
              </w:rPr>
              <w:t>Kapcsolódik</w:t>
            </w:r>
          </w:p>
        </w:tc>
        <w:tc>
          <w:tcPr>
            <w:tcW w:w="71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3C8B6C03" w14:textId="77777777" w:rsidR="00620E68" w:rsidRDefault="00000000" w:rsidP="00626F2E">
            <w:pPr>
              <w:jc w:val="both"/>
            </w:pPr>
            <w:r>
              <w:rPr>
                <w:sz w:val="20"/>
                <w:szCs w:val="20"/>
              </w:rPr>
              <w:t>Stratégia 8. fejezet (Monitoring); KKV-alstratégia; Operatív terv 6.</w:t>
            </w:r>
          </w:p>
        </w:tc>
      </w:tr>
      <w:tr w:rsidR="00620E68" w14:paraId="5F5EE93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72C917EB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1E7A34"/>
                <w:sz w:val="20"/>
                <w:szCs w:val="20"/>
              </w:rPr>
              <w:t>Felelős</w:t>
            </w:r>
          </w:p>
        </w:tc>
        <w:tc>
          <w:tcPr>
            <w:tcW w:w="71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27A77C79" w14:textId="77777777" w:rsidR="00620E68" w:rsidRDefault="00000000" w:rsidP="00626F2E">
            <w:pPr>
              <w:jc w:val="both"/>
            </w:pPr>
            <w:proofErr w:type="spellStart"/>
            <w:r>
              <w:rPr>
                <w:sz w:val="20"/>
                <w:szCs w:val="20"/>
              </w:rPr>
              <w:t>Szekfü</w:t>
            </w:r>
            <w:proofErr w:type="spellEnd"/>
            <w:r>
              <w:rPr>
                <w:sz w:val="20"/>
                <w:szCs w:val="20"/>
              </w:rPr>
              <w:t xml:space="preserve"> Tibor főigazgató · Vonnák Péter ügyvezető igazgató</w:t>
            </w:r>
          </w:p>
        </w:tc>
      </w:tr>
      <w:tr w:rsidR="00620E68" w14:paraId="2CA3EFDB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AF3EC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5726238C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1E7A34"/>
                <w:sz w:val="20"/>
                <w:szCs w:val="20"/>
              </w:rPr>
              <w:t>Készítette</w:t>
            </w:r>
          </w:p>
        </w:tc>
        <w:tc>
          <w:tcPr>
            <w:tcW w:w="71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6D2E84A7" w14:textId="77777777" w:rsidR="00620E68" w:rsidRDefault="00000000" w:rsidP="00626F2E">
            <w:pPr>
              <w:jc w:val="both"/>
            </w:pPr>
            <w:r>
              <w:rPr>
                <w:sz w:val="20"/>
                <w:szCs w:val="20"/>
              </w:rPr>
              <w:t>MAGYAR FENNTARTHATÓSÁGI KÖZPONT Alapítvány (MFKA)</w:t>
            </w:r>
          </w:p>
        </w:tc>
      </w:tr>
    </w:tbl>
    <w:p w14:paraId="283581B2" w14:textId="77777777" w:rsidR="00620E68" w:rsidRDefault="00620E68" w:rsidP="00626F2E">
      <w:pPr>
        <w:jc w:val="both"/>
        <w:sectPr w:rsidR="00620E68">
          <w:pgSz w:w="11906" w:h="16838"/>
          <w:pgMar w:top="1417" w:right="1077" w:bottom="1077" w:left="1077" w:header="708" w:footer="708" w:gutter="0"/>
          <w:cols w:space="708"/>
          <w:docGrid w:linePitch="360"/>
        </w:sectPr>
      </w:pPr>
    </w:p>
    <w:p w14:paraId="27BD5B0A" w14:textId="77777777" w:rsidR="00620E68" w:rsidRDefault="00000000" w:rsidP="00626F2E">
      <w:pPr>
        <w:pStyle w:val="Cmsor1"/>
        <w:jc w:val="both"/>
      </w:pPr>
      <w:r>
        <w:lastRenderedPageBreak/>
        <w:t>1. Mire való ez a melléklet</w:t>
      </w:r>
    </w:p>
    <w:p w14:paraId="265A4C27" w14:textId="77777777" w:rsidR="00620E68" w:rsidRDefault="00000000" w:rsidP="00626F2E">
      <w:pPr>
        <w:spacing w:after="150" w:line="288" w:lineRule="auto"/>
        <w:jc w:val="both"/>
      </w:pPr>
      <w:r>
        <w:t>Ez a melléklet a stratégia versenyképességi céljait teszi mérhetővé: egy kompakt, háromszintű indikátorrendszert ad, amely a vállalati és a nemzetgazdasági versenyképesség közötti fő átfordító csatornákat fedi le. A kiindulópont szakmai: a nemzetközi összetett indexek (WEF GCI, IMD, World Bank B-READY, LPI) hasznos külső diagnosztikai eszközök, de stratégiai célnak nem alkalmasak — ezért saját, operatív KPI-rendszert építünk, és nem rangsorokat hajszolunk.</w:t>
      </w:r>
    </w:p>
    <w:p w14:paraId="71282C83" w14:textId="77777777" w:rsidR="00620E68" w:rsidRDefault="00000000" w:rsidP="00626F2E">
      <w:pPr>
        <w:spacing w:after="150" w:line="288" w:lineRule="auto"/>
        <w:jc w:val="both"/>
      </w:pPr>
      <w:r>
        <w:t>A bázis-, 2031- és 2036-os oszlopok szándékosan üresek. Valódi, hivatalos KSH-, MNB-, OECD- és Eurostat-adatok nélkül nem írunk be számokat (a hamis precizitás elkerülése); ezeket az alátámasztó megvalósíthatósági tanulmány tölti ki, primer forrásból.</w:t>
      </w:r>
    </w:p>
    <w:tbl>
      <w:tblPr>
        <w:tblW w:w="9752" w:type="dxa"/>
        <w:tblBorders>
          <w:top w:val="single" w:sz="2" w:space="0" w:color="E3EFE5"/>
          <w:left w:val="single" w:sz="26" w:space="0" w:color="C7A14A"/>
          <w:bottom w:val="single" w:sz="2" w:space="0" w:color="E3EFE5"/>
          <w:right w:val="single" w:sz="2" w:space="0" w:color="E3EFE5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2"/>
      </w:tblGrid>
      <w:tr w:rsidR="00620E68" w14:paraId="209C6165" w14:textId="77777777">
        <w:tblPrEx>
          <w:tblCellMar>
            <w:top w:w="0" w:type="dxa"/>
            <w:bottom w:w="0" w:type="dxa"/>
          </w:tblCellMar>
        </w:tblPrEx>
        <w:tc>
          <w:tcPr>
            <w:tcW w:w="9752" w:type="dxa"/>
            <w:shd w:val="clear" w:color="auto" w:fill="F2F8F3"/>
            <w:tcMar>
              <w:top w:w="170" w:type="dxa"/>
              <w:left w:w="230" w:type="dxa"/>
              <w:bottom w:w="170" w:type="dxa"/>
              <w:right w:w="230" w:type="dxa"/>
            </w:tcMar>
          </w:tcPr>
          <w:p w14:paraId="2D408E35" w14:textId="77777777" w:rsidR="00620E68" w:rsidRDefault="00000000" w:rsidP="00626F2E">
            <w:pPr>
              <w:spacing w:line="282" w:lineRule="auto"/>
              <w:jc w:val="both"/>
            </w:pPr>
            <w:r>
              <w:rPr>
                <w:b/>
                <w:bCs/>
                <w:color w:val="1E7A34"/>
              </w:rPr>
              <w:t xml:space="preserve">A </w:t>
            </w:r>
            <w:proofErr w:type="spellStart"/>
            <w:r>
              <w:rPr>
                <w:b/>
                <w:bCs/>
                <w:color w:val="1E7A34"/>
              </w:rPr>
              <w:t>vállalati→nemzeti</w:t>
            </w:r>
            <w:proofErr w:type="spellEnd"/>
            <w:r>
              <w:rPr>
                <w:b/>
                <w:bCs/>
                <w:color w:val="1E7A34"/>
              </w:rPr>
              <w:t xml:space="preserve"> átfordulás kulcsa. </w:t>
            </w:r>
            <w:r>
              <w:t>A vállalati kompetenciák csak akkor fordulnak át nemzetgazdasági versenyképességbe, ha termelékenységi és tovaterjedési (diffúziós) csatornákon hatnak. A négy fő csatorna: a menedzsment- és szervezeti képesség (a legerősebb bizonyított), a digitalizáció és AI (komplementaritás- és diffúziófüggő), az üzleti környezet és logisztika, valamint az energia-, víz- és klímaalkalmazkodás. A mérés ezért hatást keres, nem darabszámot.</w:t>
            </w:r>
          </w:p>
        </w:tc>
      </w:tr>
    </w:tbl>
    <w:p w14:paraId="2A5126E0" w14:textId="77777777" w:rsidR="00620E68" w:rsidRDefault="00000000" w:rsidP="00626F2E">
      <w:pPr>
        <w:pStyle w:val="Cmsor1"/>
        <w:jc w:val="both"/>
      </w:pPr>
      <w:r>
        <w:t>2. A háromszintű indikátorrendszer</w:t>
      </w:r>
    </w:p>
    <w:p w14:paraId="064D2849" w14:textId="77777777" w:rsidR="00620E68" w:rsidRDefault="00000000" w:rsidP="00626F2E">
      <w:pPr>
        <w:spacing w:after="150" w:line="288" w:lineRule="auto"/>
        <w:jc w:val="both"/>
      </w:pPr>
      <w:r>
        <w:t xml:space="preserve">Az első szint a vállalati </w:t>
      </w:r>
      <w:proofErr w:type="spellStart"/>
      <w:r>
        <w:t>mikroeredményt</w:t>
      </w:r>
      <w:proofErr w:type="spellEnd"/>
      <w:r>
        <w:t xml:space="preserve"> méri; a második a diffúziós, ágazati-értéklánc szintet; a harmadik az ezt lehetővé tevő nemzeti rendszerképességet. A működtetés három ritmusban javasolt: a nemzeti </w:t>
      </w:r>
      <w:proofErr w:type="spellStart"/>
      <w:r>
        <w:t>makro</w:t>
      </w:r>
      <w:proofErr w:type="spellEnd"/>
      <w:r>
        <w:t xml:space="preserve">-magmutatók negyedéves/éves, a vállalati </w:t>
      </w:r>
      <w:proofErr w:type="spellStart"/>
      <w:r>
        <w:t>mikromutatók</w:t>
      </w:r>
      <w:proofErr w:type="spellEnd"/>
      <w:r>
        <w:t xml:space="preserve"> éves (</w:t>
      </w:r>
      <w:proofErr w:type="spellStart"/>
      <w:r>
        <w:t>adminadatból</w:t>
      </w:r>
      <w:proofErr w:type="spellEnd"/>
      <w:r>
        <w:t xml:space="preserve">), az AI-, készség- és menedzsment-képességek kétéves </w:t>
      </w:r>
      <w:proofErr w:type="spellStart"/>
      <w:r>
        <w:t>frissítésűek</w:t>
      </w:r>
      <w:proofErr w:type="spellEnd"/>
      <w:r>
        <w:t>.</w:t>
      </w:r>
    </w:p>
    <w:p w14:paraId="590F21E1" w14:textId="77777777" w:rsidR="00620E68" w:rsidRDefault="00000000" w:rsidP="00626F2E">
      <w:pPr>
        <w:spacing w:before="200" w:after="90"/>
        <w:jc w:val="both"/>
      </w:pPr>
      <w:r>
        <w:rPr>
          <w:rFonts w:ascii="Corbel" w:eastAsia="Corbel" w:hAnsi="Corbel" w:cs="Corbel"/>
          <w:b/>
          <w:bCs/>
          <w:sz w:val="24"/>
          <w:szCs w:val="24"/>
        </w:rPr>
        <w:t>2.1 Vállalati szint (</w:t>
      </w:r>
      <w:proofErr w:type="spellStart"/>
      <w:r>
        <w:rPr>
          <w:rFonts w:ascii="Corbel" w:eastAsia="Corbel" w:hAnsi="Corbel" w:cs="Corbel"/>
          <w:b/>
          <w:bCs/>
          <w:sz w:val="24"/>
          <w:szCs w:val="24"/>
        </w:rPr>
        <w:t>mikroeredmény</w:t>
      </w:r>
      <w:proofErr w:type="spellEnd"/>
      <w:r>
        <w:rPr>
          <w:rFonts w:ascii="Corbel" w:eastAsia="Corbel" w:hAnsi="Corbel" w:cs="Corbel"/>
          <w:b/>
          <w:bCs/>
          <w:sz w:val="24"/>
          <w:szCs w:val="24"/>
        </w:rPr>
        <w:t>)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6"/>
        <w:gridCol w:w="3668"/>
        <w:gridCol w:w="2501"/>
        <w:gridCol w:w="608"/>
        <w:gridCol w:w="560"/>
        <w:gridCol w:w="569"/>
      </w:tblGrid>
      <w:tr w:rsidR="00620E68" w14:paraId="17FE49D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E7A3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349398C5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7"/>
                <w:szCs w:val="17"/>
              </w:rPr>
              <w:t>Indikátor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E7A3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D5883DA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7"/>
                <w:szCs w:val="17"/>
              </w:rPr>
              <w:t>Operatív definíció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E7A3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7C70434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7"/>
                <w:szCs w:val="17"/>
              </w:rPr>
              <w:t>Adatforrás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E7A3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8F94011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7"/>
                <w:szCs w:val="17"/>
              </w:rPr>
              <w:t>Bázis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E7A3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D1BABB5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7"/>
                <w:szCs w:val="17"/>
              </w:rPr>
              <w:t>2031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E7A3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9972F4C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7"/>
                <w:szCs w:val="17"/>
              </w:rPr>
              <w:t>2036</w:t>
            </w:r>
          </w:p>
        </w:tc>
      </w:tr>
      <w:tr w:rsidR="00620E68" w14:paraId="23BCD2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16428D5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b/>
                <w:bCs/>
                <w:sz w:val="17"/>
                <w:szCs w:val="17"/>
              </w:rPr>
              <w:t>Munkatermelékenység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A7F37CA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Reál hozzáadott érték / ledolgozott óra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D8C1402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OECD/Eurostat-logika, vállalati adat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1E8391D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4E3E3B4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5A345E2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</w:tr>
      <w:tr w:rsidR="00620E68" w14:paraId="72217B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DE8668B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b/>
                <w:bCs/>
                <w:sz w:val="17"/>
                <w:szCs w:val="17"/>
              </w:rPr>
              <w:t>EBITDA-</w:t>
            </w:r>
            <w:proofErr w:type="spellStart"/>
            <w:r>
              <w:rPr>
                <w:b/>
                <w:bCs/>
                <w:sz w:val="17"/>
                <w:szCs w:val="17"/>
              </w:rPr>
              <w:t>marzs</w:t>
            </w:r>
            <w:proofErr w:type="spellEnd"/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7B29AFD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EBITDA / árbevétel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9F0DA77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e-beszámoló, NAV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7F9D920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70B8EEB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176B598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</w:tr>
      <w:tr w:rsidR="00620E68" w14:paraId="16C199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98A1F6F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b/>
                <w:bCs/>
                <w:sz w:val="17"/>
                <w:szCs w:val="17"/>
              </w:rPr>
              <w:t>Exportintenzitás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2E49668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Exportárbevétel / összes árbevétel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66AC648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NAV, vámadat, vállalati beszámoló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945A255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F71591D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A749D40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</w:tr>
      <w:tr w:rsidR="00620E68" w14:paraId="78F8716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C385F32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b/>
                <w:bCs/>
                <w:sz w:val="17"/>
                <w:szCs w:val="17"/>
              </w:rPr>
              <w:t>Innovációs intenzitás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9A8C593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Új vagy jelentősen javított termék/szolgáltatás aránya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AB06C06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CIS/KSH, vállalati felmérés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D2CF0ED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023B0A1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43BE622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</w:tr>
      <w:tr w:rsidR="00620E68" w14:paraId="7358D8D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E2462F3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b/>
                <w:bCs/>
                <w:sz w:val="17"/>
                <w:szCs w:val="17"/>
              </w:rPr>
              <w:t>AI/digitális adoptáció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4F4E3F7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AI-t használó vagy magas digitális érettségű cégek aránya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1DA2C8F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Eurostat/KSH ICT-felmérés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9EC3BC5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6BDDBE5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CA9A62C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</w:tr>
      <w:tr w:rsidR="00620E68" w14:paraId="565DA30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283E821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b/>
                <w:bCs/>
                <w:sz w:val="17"/>
                <w:szCs w:val="17"/>
              </w:rPr>
              <w:t>Túlélési ráta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96D1807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 xml:space="preserve">Induló </w:t>
            </w:r>
            <w:proofErr w:type="spellStart"/>
            <w:r>
              <w:rPr>
                <w:sz w:val="17"/>
                <w:szCs w:val="17"/>
              </w:rPr>
              <w:t>cohort</w:t>
            </w:r>
            <w:proofErr w:type="spellEnd"/>
            <w:r>
              <w:rPr>
                <w:sz w:val="17"/>
                <w:szCs w:val="17"/>
              </w:rPr>
              <w:t xml:space="preserve"> 3 és 5 éves fennmaradása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93F7672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KSH vállalkozásdemográfia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2AFCC34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D39CA19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D0AE770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</w:tr>
      <w:tr w:rsidR="00620E68" w14:paraId="4D85CF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14440BF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b/>
                <w:bCs/>
                <w:sz w:val="17"/>
                <w:szCs w:val="17"/>
              </w:rPr>
              <w:t>Növekedési ráta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274CD3C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Árbevétel vagy foglalkoztatás éves növekedése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5F23537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NAV, KSH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7F03E38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68FCFDF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6267C92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</w:tr>
      <w:tr w:rsidR="00620E68" w14:paraId="1102A1C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17EA827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b/>
                <w:bCs/>
                <w:sz w:val="17"/>
                <w:szCs w:val="17"/>
              </w:rPr>
              <w:t>Képzési intenzitás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3059FA3" w14:textId="77777777" w:rsidR="00620E68" w:rsidRDefault="00000000" w:rsidP="00626F2E">
            <w:pPr>
              <w:spacing w:line="250" w:lineRule="auto"/>
              <w:jc w:val="both"/>
            </w:pPr>
            <w:proofErr w:type="spellStart"/>
            <w:r>
              <w:rPr>
                <w:sz w:val="17"/>
                <w:szCs w:val="17"/>
              </w:rPr>
              <w:t>Munkavállalónkénti</w:t>
            </w:r>
            <w:proofErr w:type="spellEnd"/>
            <w:r>
              <w:rPr>
                <w:sz w:val="17"/>
                <w:szCs w:val="17"/>
              </w:rPr>
              <w:t xml:space="preserve"> éves képzési ráfordítás/óra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9C9DDEB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Vállalati HR-</w:t>
            </w:r>
            <w:proofErr w:type="spellStart"/>
            <w:r>
              <w:rPr>
                <w:sz w:val="17"/>
                <w:szCs w:val="17"/>
              </w:rPr>
              <w:t>adminadat</w:t>
            </w:r>
            <w:proofErr w:type="spellEnd"/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05378EF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D532645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9EFD672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</w:tr>
      <w:tr w:rsidR="00620E68" w14:paraId="3FC1308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D059C13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b/>
                <w:bCs/>
                <w:sz w:val="17"/>
                <w:szCs w:val="17"/>
              </w:rPr>
              <w:t>Energiaintenzitás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B4148A3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Energiafelhasználás / hozzáadott érték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28C76D9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MEKH/KSH/vállalati adat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1B83050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2221980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138EBF7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</w:tr>
      <w:tr w:rsidR="00620E68" w14:paraId="2C9F72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16EB388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b/>
                <w:bCs/>
                <w:sz w:val="17"/>
                <w:szCs w:val="17"/>
              </w:rPr>
              <w:t>Vízintenzitás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EEA4D1C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Vízfelhasználás / hozzáadott érték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D9D09CF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 xml:space="preserve">Ágazati/vállalati </w:t>
            </w:r>
            <w:proofErr w:type="spellStart"/>
            <w:r>
              <w:rPr>
                <w:sz w:val="17"/>
                <w:szCs w:val="17"/>
              </w:rPr>
              <w:t>adminadat</w:t>
            </w:r>
            <w:proofErr w:type="spellEnd"/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C8E0D7C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0A82C3C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EB5B9A3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</w:tr>
    </w:tbl>
    <w:p w14:paraId="7C029241" w14:textId="77777777" w:rsidR="00620E68" w:rsidRDefault="00620E68" w:rsidP="00626F2E">
      <w:pPr>
        <w:spacing w:after="60" w:line="288" w:lineRule="auto"/>
        <w:jc w:val="both"/>
      </w:pPr>
    </w:p>
    <w:p w14:paraId="09B1CBA4" w14:textId="77777777" w:rsidR="00620E68" w:rsidRDefault="00000000" w:rsidP="00626F2E">
      <w:pPr>
        <w:spacing w:before="200" w:after="90"/>
        <w:jc w:val="both"/>
      </w:pPr>
      <w:r>
        <w:rPr>
          <w:rFonts w:ascii="Corbel" w:eastAsia="Corbel" w:hAnsi="Corbel" w:cs="Corbel"/>
          <w:b/>
          <w:bCs/>
          <w:sz w:val="24"/>
          <w:szCs w:val="24"/>
        </w:rPr>
        <w:t>2.2 Ágazati / értéklánc szint (diffúzió és szerkezet)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4"/>
        <w:gridCol w:w="2803"/>
        <w:gridCol w:w="2357"/>
        <w:gridCol w:w="615"/>
        <w:gridCol w:w="567"/>
        <w:gridCol w:w="576"/>
      </w:tblGrid>
      <w:tr w:rsidR="00620E68" w14:paraId="4DF803F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E7A3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4DE0828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7"/>
                <w:szCs w:val="17"/>
              </w:rPr>
              <w:t>Indikátor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E7A3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54EB9523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7"/>
                <w:szCs w:val="17"/>
              </w:rPr>
              <w:t>Operatív definíció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E7A3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CC538CD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7"/>
                <w:szCs w:val="17"/>
              </w:rPr>
              <w:t>Adatforrás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E7A3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5210F8D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7"/>
                <w:szCs w:val="17"/>
              </w:rPr>
              <w:t>Bázis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E7A3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05E7076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7"/>
                <w:szCs w:val="17"/>
              </w:rPr>
              <w:t>2031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E7A3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20D295A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7"/>
                <w:szCs w:val="17"/>
              </w:rPr>
              <w:t>2036</w:t>
            </w:r>
          </w:p>
        </w:tc>
      </w:tr>
      <w:tr w:rsidR="00620E68" w14:paraId="525F5D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EBBE867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b/>
                <w:bCs/>
                <w:sz w:val="17"/>
                <w:szCs w:val="17"/>
              </w:rPr>
              <w:t>Exportpiaci részesedés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9CF9C92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Magyar export / releváns világexport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CB66F1F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Eurostat COMEXT, WTO/OECD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DD1C92F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41FF082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85A7C4C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</w:tr>
      <w:tr w:rsidR="00620E68" w14:paraId="055125E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FA52F04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b/>
                <w:bCs/>
                <w:sz w:val="17"/>
                <w:szCs w:val="17"/>
              </w:rPr>
              <w:lastRenderedPageBreak/>
              <w:t>Hazai hozzáadott érték az exportban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F097535" w14:textId="77777777" w:rsidR="00620E68" w:rsidRDefault="00000000" w:rsidP="00626F2E">
            <w:pPr>
              <w:spacing w:line="250" w:lineRule="auto"/>
              <w:jc w:val="both"/>
            </w:pPr>
            <w:proofErr w:type="spellStart"/>
            <w:r>
              <w:rPr>
                <w:sz w:val="17"/>
                <w:szCs w:val="17"/>
              </w:rPr>
              <w:t>Domestic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value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added</w:t>
            </w:r>
            <w:proofErr w:type="spellEnd"/>
            <w:r>
              <w:rPr>
                <w:sz w:val="17"/>
                <w:szCs w:val="17"/>
              </w:rPr>
              <w:t xml:space="preserve"> in </w:t>
            </w:r>
            <w:proofErr w:type="spellStart"/>
            <w:r>
              <w:rPr>
                <w:sz w:val="17"/>
                <w:szCs w:val="17"/>
              </w:rPr>
              <w:t>exports</w:t>
            </w:r>
            <w:proofErr w:type="spellEnd"/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8E25A67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 xml:space="preserve">OECD </w:t>
            </w:r>
            <w:proofErr w:type="spellStart"/>
            <w:r>
              <w:rPr>
                <w:sz w:val="17"/>
                <w:szCs w:val="17"/>
              </w:rPr>
              <w:t>TiVA</w:t>
            </w:r>
            <w:proofErr w:type="spellEnd"/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EB30DD6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626C494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85022BB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</w:tr>
    </w:tbl>
    <w:p w14:paraId="152874E0" w14:textId="77777777" w:rsidR="00620E68" w:rsidRDefault="00620E68" w:rsidP="00626F2E">
      <w:pPr>
        <w:spacing w:after="60" w:line="288" w:lineRule="auto"/>
        <w:jc w:val="both"/>
      </w:pPr>
    </w:p>
    <w:p w14:paraId="4C187A4F" w14:textId="77777777" w:rsidR="00620E68" w:rsidRDefault="00000000" w:rsidP="00626F2E">
      <w:pPr>
        <w:spacing w:before="200" w:after="90"/>
        <w:jc w:val="both"/>
      </w:pPr>
      <w:r>
        <w:rPr>
          <w:rFonts w:ascii="Corbel" w:eastAsia="Corbel" w:hAnsi="Corbel" w:cs="Corbel"/>
          <w:b/>
          <w:bCs/>
          <w:sz w:val="24"/>
          <w:szCs w:val="24"/>
        </w:rPr>
        <w:t>2.3 Nemzeti / rendszerszintű szint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3"/>
        <w:gridCol w:w="3250"/>
        <w:gridCol w:w="2242"/>
        <w:gridCol w:w="608"/>
        <w:gridCol w:w="560"/>
        <w:gridCol w:w="569"/>
      </w:tblGrid>
      <w:tr w:rsidR="00620E68" w14:paraId="4BDCC09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E7A3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621906BC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7"/>
                <w:szCs w:val="17"/>
              </w:rPr>
              <w:t>Indikátor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E7A3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7524328F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7"/>
                <w:szCs w:val="17"/>
              </w:rPr>
              <w:t>Operatív definíció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E7A3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8B4971B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7"/>
                <w:szCs w:val="17"/>
              </w:rPr>
              <w:t>Adatforrás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E7A3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315A3BA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7"/>
                <w:szCs w:val="17"/>
              </w:rPr>
              <w:t>Bázis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E7A3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4036E3E6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7"/>
                <w:szCs w:val="17"/>
              </w:rPr>
              <w:t>2031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E7A34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4D1B36B" w14:textId="77777777" w:rsidR="00620E68" w:rsidRDefault="00000000" w:rsidP="00626F2E">
            <w:pPr>
              <w:jc w:val="both"/>
            </w:pPr>
            <w:r>
              <w:rPr>
                <w:rFonts w:ascii="Corbel" w:eastAsia="Corbel" w:hAnsi="Corbel" w:cs="Corbel"/>
                <w:b/>
                <w:bCs/>
                <w:color w:val="FFFFFF"/>
                <w:sz w:val="17"/>
                <w:szCs w:val="17"/>
              </w:rPr>
              <w:t>2036</w:t>
            </w:r>
          </w:p>
        </w:tc>
      </w:tr>
      <w:tr w:rsidR="00620E68" w14:paraId="392366A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ED4A3C9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b/>
                <w:bCs/>
                <w:sz w:val="17"/>
                <w:szCs w:val="17"/>
              </w:rPr>
              <w:t>GDP/ledolgozott óra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E9C54CC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GDP / ledolgozott órák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E6DFCD5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 xml:space="preserve">OECD </w:t>
            </w:r>
            <w:proofErr w:type="spellStart"/>
            <w:r>
              <w:rPr>
                <w:sz w:val="17"/>
                <w:szCs w:val="17"/>
              </w:rPr>
              <w:t>Productivity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Database</w:t>
            </w:r>
            <w:proofErr w:type="spellEnd"/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C8978C7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0EB5ECF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0A0EFFD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</w:tr>
      <w:tr w:rsidR="00620E68" w14:paraId="2D2F1F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E25A874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b/>
                <w:bCs/>
                <w:sz w:val="17"/>
                <w:szCs w:val="17"/>
              </w:rPr>
              <w:t>ULC (fajlagos munkaerőköltség)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5BC2749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Munkaerő-kompenzáció/óra ÷ kibocsátás/óra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E3BD763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OECD ULC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8C2CFD4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4ABA9D9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89F954A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</w:tr>
      <w:tr w:rsidR="00620E68" w14:paraId="59CA4E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3CD209B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b/>
                <w:bCs/>
                <w:sz w:val="17"/>
                <w:szCs w:val="17"/>
              </w:rPr>
              <w:t>TFP/MFP növekedés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F688072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A növekedési elszámolás maradéka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71480B7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OECD/MNB/KSH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89AA428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F98446F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F862F1C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</w:tr>
      <w:tr w:rsidR="00620E68" w14:paraId="5997EDA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13B9562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b/>
                <w:bCs/>
                <w:sz w:val="17"/>
                <w:szCs w:val="17"/>
              </w:rPr>
              <w:t>Vállalkozásdemográfia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5DE9995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 xml:space="preserve">Belépési, kilépési, </w:t>
            </w:r>
            <w:proofErr w:type="spellStart"/>
            <w:r>
              <w:rPr>
                <w:sz w:val="17"/>
                <w:szCs w:val="17"/>
              </w:rPr>
              <w:t>skálázódási</w:t>
            </w:r>
            <w:proofErr w:type="spellEnd"/>
            <w:r>
              <w:rPr>
                <w:sz w:val="17"/>
                <w:szCs w:val="17"/>
              </w:rPr>
              <w:t xml:space="preserve"> ráták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7B6BFD2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KSH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8E9BB32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9BF5A2F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CF3A1ED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</w:tr>
      <w:tr w:rsidR="00620E68" w14:paraId="4058D2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4859A9B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b/>
                <w:bCs/>
                <w:sz w:val="17"/>
                <w:szCs w:val="17"/>
              </w:rPr>
              <w:t>B-READY pontszám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488EBDA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Szabályozás, közszolgáltatás, működési hatékonyság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3CCBEDF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World Bank B-READY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0C33F17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D58132C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6E45334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</w:tr>
      <w:tr w:rsidR="00620E68" w14:paraId="79C216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A7E0BBE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b/>
                <w:bCs/>
                <w:sz w:val="17"/>
                <w:szCs w:val="17"/>
              </w:rPr>
              <w:t>Logisztikai teljesítmény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0955084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LPI és kapcsolódó nyomon követés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B3E9F49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World Bank LPI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C718A5C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AD5D944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58FCEAA1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</w:tr>
      <w:tr w:rsidR="00620E68" w14:paraId="2C247F9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5D3E7D5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b/>
                <w:bCs/>
                <w:sz w:val="17"/>
                <w:szCs w:val="17"/>
              </w:rPr>
              <w:t>AI-diffúzió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D718F66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AI-t használó vállalatok aránya, ágazati bontásban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8971EAA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Eurostat/KSH/ágazati felmérés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88014BB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4A833E1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3DB38F3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</w:tr>
      <w:tr w:rsidR="00620E68" w14:paraId="5D5C9C4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0F3ECDD9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b/>
                <w:bCs/>
                <w:sz w:val="17"/>
                <w:szCs w:val="17"/>
              </w:rPr>
              <w:t>Energiafüggőség / energiaintenzitás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76BAE15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Energiaimport-függés; GDP-egységre jutó energia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9025AEE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Eurostat/MEKH/KSH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A674DAD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181BD15F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7E3BF616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</w:tr>
      <w:tr w:rsidR="00620E68" w14:paraId="27C0ADF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44E369F7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b/>
                <w:bCs/>
                <w:sz w:val="17"/>
                <w:szCs w:val="17"/>
              </w:rPr>
              <w:t xml:space="preserve">Víz- és </w:t>
            </w:r>
            <w:proofErr w:type="spellStart"/>
            <w:r>
              <w:rPr>
                <w:b/>
                <w:bCs/>
                <w:sz w:val="17"/>
                <w:szCs w:val="17"/>
              </w:rPr>
              <w:t>klímareziliencia</w:t>
            </w:r>
            <w:proofErr w:type="spellEnd"/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3650856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>Aszálykitettség, öntözés, vízvisszatartás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5FDC2C1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sz w:val="17"/>
                <w:szCs w:val="17"/>
              </w:rPr>
              <w:t xml:space="preserve">KSH, vízügyi és agrár </w:t>
            </w:r>
            <w:proofErr w:type="spellStart"/>
            <w:r>
              <w:rPr>
                <w:sz w:val="17"/>
                <w:szCs w:val="17"/>
              </w:rPr>
              <w:t>adminadat</w:t>
            </w:r>
            <w:proofErr w:type="spellEnd"/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63253516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25727811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8F3"/>
            <w:tcMar>
              <w:top w:w="50" w:type="dxa"/>
              <w:left w:w="110" w:type="dxa"/>
              <w:bottom w:w="50" w:type="dxa"/>
              <w:right w:w="110" w:type="dxa"/>
            </w:tcMar>
            <w:vAlign w:val="center"/>
          </w:tcPr>
          <w:p w14:paraId="3374ED4F" w14:textId="77777777" w:rsidR="00620E68" w:rsidRDefault="00000000" w:rsidP="00626F2E">
            <w:pPr>
              <w:spacing w:line="250" w:lineRule="auto"/>
              <w:jc w:val="both"/>
            </w:pPr>
            <w:r>
              <w:rPr>
                <w:color w:val="6F6F6F"/>
                <w:sz w:val="17"/>
                <w:szCs w:val="17"/>
              </w:rPr>
              <w:t>—</w:t>
            </w:r>
          </w:p>
        </w:tc>
      </w:tr>
    </w:tbl>
    <w:p w14:paraId="25DEB466" w14:textId="77777777" w:rsidR="00620E68" w:rsidRDefault="00000000" w:rsidP="00626F2E">
      <w:pPr>
        <w:pStyle w:val="Cmsor1"/>
        <w:jc w:val="both"/>
      </w:pPr>
      <w:r>
        <w:t>3. Külső diagnosztikai indexek (benchmarkként)</w:t>
      </w:r>
    </w:p>
    <w:p w14:paraId="6BBB7476" w14:textId="77777777" w:rsidR="00620E68" w:rsidRDefault="00000000" w:rsidP="00626F2E">
      <w:pPr>
        <w:spacing w:after="150" w:line="288" w:lineRule="auto"/>
        <w:jc w:val="both"/>
      </w:pPr>
      <w:r>
        <w:t>A következő nemzetközi indexek nem stratégiai célok, hanem külső benchmarkok és diagnosztikai jelzések, amelyeket érdemes követni:</w:t>
      </w:r>
    </w:p>
    <w:p w14:paraId="116FB0AE" w14:textId="77777777" w:rsidR="00620E68" w:rsidRDefault="00000000" w:rsidP="00626F2E">
      <w:pPr>
        <w:pStyle w:val="Listaszerbekezds"/>
        <w:numPr>
          <w:ilvl w:val="0"/>
          <w:numId w:val="2"/>
        </w:numPr>
        <w:spacing w:after="100" w:line="282" w:lineRule="auto"/>
        <w:jc w:val="both"/>
      </w:pPr>
      <w:r>
        <w:rPr>
          <w:b/>
          <w:bCs/>
        </w:rPr>
        <w:t xml:space="preserve">WEF Global </w:t>
      </w:r>
      <w:proofErr w:type="spellStart"/>
      <w:r>
        <w:rPr>
          <w:b/>
          <w:bCs/>
        </w:rPr>
        <w:t>Competitiveness</w:t>
      </w:r>
      <w:proofErr w:type="spellEnd"/>
      <w:r>
        <w:rPr>
          <w:b/>
          <w:bCs/>
        </w:rPr>
        <w:t xml:space="preserve"> Index 4.0. </w:t>
      </w:r>
      <w:r>
        <w:t>A termelékenységet meghatározó intézmények, politikák és tényezők 12 pillére; elméletileg koherens keret, „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frontier</w:t>
      </w:r>
      <w:proofErr w:type="spellEnd"/>
      <w:r>
        <w:t>” logika. Korlát: felmérés-érzékeny, nem elég gyakori.</w:t>
      </w:r>
    </w:p>
    <w:p w14:paraId="04D9C693" w14:textId="77777777" w:rsidR="00620E68" w:rsidRDefault="00000000" w:rsidP="00626F2E">
      <w:pPr>
        <w:pStyle w:val="Listaszerbekezds"/>
        <w:numPr>
          <w:ilvl w:val="0"/>
          <w:numId w:val="2"/>
        </w:numPr>
        <w:spacing w:after="100" w:line="282" w:lineRule="auto"/>
        <w:jc w:val="both"/>
      </w:pPr>
      <w:r>
        <w:rPr>
          <w:b/>
          <w:bCs/>
        </w:rPr>
        <w:t xml:space="preserve">IMD World </w:t>
      </w:r>
      <w:proofErr w:type="spellStart"/>
      <w:r>
        <w:rPr>
          <w:b/>
          <w:bCs/>
        </w:rPr>
        <w:t>Competitiveness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Yearbook</w:t>
      </w:r>
      <w:proofErr w:type="spellEnd"/>
      <w:r>
        <w:rPr>
          <w:b/>
          <w:bCs/>
        </w:rPr>
        <w:t xml:space="preserve">. </w:t>
      </w:r>
      <w:r>
        <w:t xml:space="preserve">Jó külső benchmark és kommunikációs eszköz. Korlát: részben </w:t>
      </w:r>
      <w:proofErr w:type="spellStart"/>
      <w:r>
        <w:t>proprietáris</w:t>
      </w:r>
      <w:proofErr w:type="spellEnd"/>
      <w:r>
        <w:t>, erős felmérési komponens.</w:t>
      </w:r>
    </w:p>
    <w:p w14:paraId="31A3B432" w14:textId="77777777" w:rsidR="00620E68" w:rsidRDefault="00000000" w:rsidP="00626F2E">
      <w:pPr>
        <w:pStyle w:val="Listaszerbekezds"/>
        <w:numPr>
          <w:ilvl w:val="0"/>
          <w:numId w:val="2"/>
        </w:numPr>
        <w:spacing w:after="100" w:line="282" w:lineRule="auto"/>
        <w:jc w:val="both"/>
      </w:pPr>
      <w:r>
        <w:rPr>
          <w:b/>
          <w:bCs/>
        </w:rPr>
        <w:t xml:space="preserve">World Bank B-READY. </w:t>
      </w:r>
      <w:r>
        <w:t>Közvetlenül használható a reformokhoz (szabályozás, közszolgáltatás, működési hatékonyság). Korlát: kifutóban lévő, új rendszer.</w:t>
      </w:r>
    </w:p>
    <w:p w14:paraId="70449DE1" w14:textId="77777777" w:rsidR="00620E68" w:rsidRDefault="00000000" w:rsidP="00626F2E">
      <w:pPr>
        <w:pStyle w:val="Listaszerbekezds"/>
        <w:numPr>
          <w:ilvl w:val="0"/>
          <w:numId w:val="2"/>
        </w:numPr>
        <w:spacing w:after="100" w:line="282" w:lineRule="auto"/>
        <w:jc w:val="both"/>
      </w:pPr>
      <w:r>
        <w:rPr>
          <w:b/>
          <w:bCs/>
        </w:rPr>
        <w:t xml:space="preserve">World Bank LPI. </w:t>
      </w:r>
      <w:r>
        <w:t>Jól méri a kereskedelmi és logisztikai teljesítményt. Korlát: nem általános versenyképességi index.</w:t>
      </w:r>
    </w:p>
    <w:p w14:paraId="1369B807" w14:textId="77777777" w:rsidR="00620E68" w:rsidRDefault="00000000" w:rsidP="00626F2E">
      <w:pPr>
        <w:pStyle w:val="Listaszerbekezds"/>
        <w:numPr>
          <w:ilvl w:val="0"/>
          <w:numId w:val="2"/>
        </w:numPr>
        <w:spacing w:after="100" w:line="282" w:lineRule="auto"/>
        <w:jc w:val="both"/>
      </w:pPr>
      <w:r>
        <w:rPr>
          <w:b/>
          <w:bCs/>
        </w:rPr>
        <w:t xml:space="preserve">OECD termelékenységi készlet. </w:t>
      </w:r>
      <w:r>
        <w:t>„</w:t>
      </w:r>
      <w:proofErr w:type="spellStart"/>
      <w:r>
        <w:t>Hard</w:t>
      </w:r>
      <w:proofErr w:type="spellEnd"/>
      <w:r>
        <w:t xml:space="preserve"> </w:t>
      </w:r>
      <w:proofErr w:type="spellStart"/>
      <w:r>
        <w:t>data</w:t>
      </w:r>
      <w:proofErr w:type="spellEnd"/>
      <w:r>
        <w:t>” magmutatók (GDP/óra, ULC, TFP) — ez a stratégiai mérés gerince, nem egyetlen kompozit index.</w:t>
      </w:r>
    </w:p>
    <w:p w14:paraId="59C59E9C" w14:textId="77777777" w:rsidR="00620E68" w:rsidRDefault="00000000" w:rsidP="00626F2E">
      <w:pPr>
        <w:pStyle w:val="Cmsor1"/>
        <w:jc w:val="both"/>
      </w:pPr>
      <w:r>
        <w:t>4. Értékelési rend és buktatók</w:t>
      </w:r>
    </w:p>
    <w:p w14:paraId="0D62BE1C" w14:textId="77777777" w:rsidR="00620E68" w:rsidRDefault="00000000" w:rsidP="00626F2E">
      <w:pPr>
        <w:spacing w:after="150" w:line="288" w:lineRule="auto"/>
        <w:jc w:val="both"/>
      </w:pPr>
      <w:r>
        <w:t xml:space="preserve">A mérést három szinten kell elválasztani: monitoring (a </w:t>
      </w:r>
      <w:proofErr w:type="spellStart"/>
      <w:r>
        <w:t>dashboard</w:t>
      </w:r>
      <w:proofErr w:type="spellEnd"/>
      <w:r>
        <w:t xml:space="preserve"> rendszeres frissítése); eredményértékelés (jobban teljesítettek-e a támogatott cégek); és hatásértékelés (valóban a program miatt-e, kontrollcsoportos, OECD-módszertan szerint). A legnagyobb módszertani hiba az </w:t>
      </w:r>
      <w:proofErr w:type="spellStart"/>
      <w:r>
        <w:t>aggregációs</w:t>
      </w:r>
      <w:proofErr w:type="spellEnd"/>
      <w:r>
        <w:t xml:space="preserve"> tévedés: abból, hogy sok cég kap támogatást, még nem következik a nemzeti versenyképesség növekedése — az akkor nő, ha a programok termelékenységet, tanulást és tovaterjedést okoznak.</w:t>
      </w:r>
    </w:p>
    <w:p w14:paraId="2024002E" w14:textId="77777777" w:rsidR="00620E68" w:rsidRDefault="00000000" w:rsidP="00626F2E">
      <w:pPr>
        <w:spacing w:after="60" w:line="288" w:lineRule="auto"/>
        <w:jc w:val="both"/>
      </w:pPr>
      <w:r>
        <w:lastRenderedPageBreak/>
        <w:t xml:space="preserve">A </w:t>
      </w:r>
      <w:proofErr w:type="spellStart"/>
      <w:r>
        <w:t>mikrofinanszírozás</w:t>
      </w:r>
      <w:proofErr w:type="spellEnd"/>
      <w:r>
        <w:t xml:space="preserve">, a </w:t>
      </w:r>
      <w:proofErr w:type="spellStart"/>
      <w:r>
        <w:t>voucher</w:t>
      </w:r>
      <w:proofErr w:type="spellEnd"/>
      <w:r>
        <w:t xml:space="preserve">-politika és a kettős felhasználású technológiák hatásmechanizmusa megalapozott, de a részletes, </w:t>
      </w:r>
      <w:proofErr w:type="spellStart"/>
      <w:proofErr w:type="gramStart"/>
      <w:r>
        <w:t>meta</w:t>
      </w:r>
      <w:proofErr w:type="spellEnd"/>
      <w:r>
        <w:t>-analitikus</w:t>
      </w:r>
      <w:proofErr w:type="gramEnd"/>
      <w:r>
        <w:t xml:space="preserve"> bizonyítékbázisuk e körben még nem teljes; ezt a megvalósíthatósági tanulmány következő köre erősíti meg, elsődlegesen OECD-, World Bank-, Eurostat- és hazai (KSH, MNB, MEKH) forrásokból.</w:t>
      </w:r>
    </w:p>
    <w:sectPr w:rsidR="00620E68">
      <w:headerReference w:type="default" r:id="rId7"/>
      <w:footerReference w:type="default" r:id="rId8"/>
      <w:pgSz w:w="11906" w:h="16838"/>
      <w:pgMar w:top="1417" w:right="1077" w:bottom="1077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B2552" w14:textId="77777777" w:rsidR="00AC147B" w:rsidRDefault="00AC147B">
      <w:r>
        <w:separator/>
      </w:r>
    </w:p>
  </w:endnote>
  <w:endnote w:type="continuationSeparator" w:id="0">
    <w:p w14:paraId="6A1996F3" w14:textId="77777777" w:rsidR="00AC147B" w:rsidRDefault="00AC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8D872" w14:textId="5B86EF02" w:rsidR="00620E68" w:rsidRDefault="00000000">
    <w:pPr>
      <w:pBdr>
        <w:top w:val="single" w:sz="6" w:space="4" w:color="1E7A34"/>
      </w:pBdr>
      <w:tabs>
        <w:tab w:val="right" w:pos="9026"/>
      </w:tabs>
      <w:spacing w:before="60"/>
    </w:pPr>
    <w:r>
      <w:rPr>
        <w:rFonts w:ascii="Corbel" w:eastAsia="Corbel" w:hAnsi="Corbel" w:cs="Corbel"/>
        <w:color w:val="6F6F6F"/>
        <w:sz w:val="16"/>
        <w:szCs w:val="16"/>
      </w:rPr>
      <w:t xml:space="preserve">MFKA · melléklet a stratégia </w:t>
    </w:r>
    <w:proofErr w:type="spellStart"/>
    <w:r>
      <w:rPr>
        <w:rFonts w:ascii="Corbel" w:eastAsia="Corbel" w:hAnsi="Corbel" w:cs="Corbel"/>
        <w:color w:val="6F6F6F"/>
        <w:sz w:val="16"/>
        <w:szCs w:val="16"/>
      </w:rPr>
      <w:t>monitoringjához</w:t>
    </w:r>
    <w:proofErr w:type="spellEnd"/>
    <w:r>
      <w:rPr>
        <w:rFonts w:ascii="Corbel" w:eastAsia="Corbel" w:hAnsi="Corbel" w:cs="Corbel"/>
        <w:color w:val="6F6F6F"/>
        <w:sz w:val="16"/>
        <w:szCs w:val="16"/>
      </w:rPr>
      <w:tab/>
      <w:t xml:space="preserve">Oldal </w:t>
    </w:r>
    <w:r>
      <w:rPr>
        <w:rFonts w:ascii="Corbel" w:eastAsia="Corbel" w:hAnsi="Corbel" w:cs="Corbel"/>
        <w:color w:val="6F6F6F"/>
        <w:sz w:val="16"/>
        <w:szCs w:val="16"/>
      </w:rPr>
      <w:fldChar w:fldCharType="begin"/>
    </w:r>
    <w:r>
      <w:rPr>
        <w:rFonts w:ascii="Corbel" w:eastAsia="Corbel" w:hAnsi="Corbel" w:cs="Corbel"/>
        <w:color w:val="6F6F6F"/>
        <w:sz w:val="16"/>
        <w:szCs w:val="16"/>
      </w:rPr>
      <w:instrText>PAGE</w:instrText>
    </w:r>
    <w:r>
      <w:rPr>
        <w:rFonts w:ascii="Corbel" w:eastAsia="Corbel" w:hAnsi="Corbel" w:cs="Corbel"/>
        <w:color w:val="6F6F6F"/>
        <w:sz w:val="16"/>
        <w:szCs w:val="16"/>
      </w:rPr>
      <w:fldChar w:fldCharType="separate"/>
    </w:r>
    <w:r w:rsidR="00626F2E">
      <w:rPr>
        <w:rFonts w:ascii="Corbel" w:eastAsia="Corbel" w:hAnsi="Corbel" w:cs="Corbel"/>
        <w:noProof/>
        <w:color w:val="6F6F6F"/>
        <w:sz w:val="16"/>
        <w:szCs w:val="16"/>
      </w:rPr>
      <w:t>2</w:t>
    </w:r>
    <w:r>
      <w:rPr>
        <w:rFonts w:ascii="Corbel" w:eastAsia="Corbel" w:hAnsi="Corbel" w:cs="Corbel"/>
        <w:color w:val="6F6F6F"/>
        <w:sz w:val="16"/>
        <w:szCs w:val="16"/>
      </w:rPr>
      <w:fldChar w:fldCharType="end"/>
    </w:r>
    <w:r>
      <w:rPr>
        <w:rFonts w:ascii="Corbel" w:eastAsia="Corbel" w:hAnsi="Corbel" w:cs="Corbel"/>
        <w:color w:val="6F6F6F"/>
        <w:sz w:val="16"/>
        <w:szCs w:val="16"/>
      </w:rPr>
      <w:t xml:space="preserve"> / </w:t>
    </w:r>
    <w:r>
      <w:rPr>
        <w:rFonts w:ascii="Corbel" w:eastAsia="Corbel" w:hAnsi="Corbel" w:cs="Corbel"/>
        <w:color w:val="6F6F6F"/>
        <w:sz w:val="16"/>
        <w:szCs w:val="16"/>
      </w:rPr>
      <w:fldChar w:fldCharType="begin"/>
    </w:r>
    <w:r>
      <w:rPr>
        <w:rFonts w:ascii="Corbel" w:eastAsia="Corbel" w:hAnsi="Corbel" w:cs="Corbel"/>
        <w:color w:val="6F6F6F"/>
        <w:sz w:val="16"/>
        <w:szCs w:val="16"/>
      </w:rPr>
      <w:instrText>NUMPAGES</w:instrText>
    </w:r>
    <w:r>
      <w:rPr>
        <w:rFonts w:ascii="Corbel" w:eastAsia="Corbel" w:hAnsi="Corbel" w:cs="Corbel"/>
        <w:color w:val="6F6F6F"/>
        <w:sz w:val="16"/>
        <w:szCs w:val="16"/>
      </w:rPr>
      <w:fldChar w:fldCharType="separate"/>
    </w:r>
    <w:r w:rsidR="00626F2E">
      <w:rPr>
        <w:rFonts w:ascii="Corbel" w:eastAsia="Corbel" w:hAnsi="Corbel" w:cs="Corbel"/>
        <w:noProof/>
        <w:color w:val="6F6F6F"/>
        <w:sz w:val="16"/>
        <w:szCs w:val="16"/>
      </w:rPr>
      <w:t>3</w:t>
    </w:r>
    <w:r>
      <w:rPr>
        <w:rFonts w:ascii="Corbel" w:eastAsia="Corbel" w:hAnsi="Corbel" w:cs="Corbel"/>
        <w:color w:val="6F6F6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2A8F9" w14:textId="77777777" w:rsidR="00AC147B" w:rsidRDefault="00AC147B">
      <w:r>
        <w:separator/>
      </w:r>
    </w:p>
  </w:footnote>
  <w:footnote w:type="continuationSeparator" w:id="0">
    <w:p w14:paraId="74640324" w14:textId="77777777" w:rsidR="00AC147B" w:rsidRDefault="00AC1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9B64" w14:textId="77777777" w:rsidR="00620E68" w:rsidRDefault="00000000">
    <w:pPr>
      <w:pBdr>
        <w:bottom w:val="single" w:sz="6" w:space="4" w:color="1E7A34"/>
      </w:pBdr>
      <w:tabs>
        <w:tab w:val="right" w:pos="9026"/>
      </w:tabs>
      <w:spacing w:after="60"/>
    </w:pPr>
    <w:r>
      <w:rPr>
        <w:rFonts w:ascii="Corbel" w:eastAsia="Corbel" w:hAnsi="Corbel" w:cs="Corbel"/>
        <w:color w:val="404040"/>
        <w:sz w:val="16"/>
        <w:szCs w:val="16"/>
      </w:rPr>
      <w:t>MFKA</w:t>
    </w:r>
    <w:r>
      <w:rPr>
        <w:rFonts w:ascii="Corbel" w:eastAsia="Corbel" w:hAnsi="Corbel" w:cs="Corbel"/>
        <w:color w:val="404040"/>
        <w:sz w:val="16"/>
        <w:szCs w:val="16"/>
      </w:rPr>
      <w:tab/>
      <w:t>Versenyképességi mérési keret és KPI-</w:t>
    </w:r>
    <w:proofErr w:type="spellStart"/>
    <w:r>
      <w:rPr>
        <w:rFonts w:ascii="Corbel" w:eastAsia="Corbel" w:hAnsi="Corbel" w:cs="Corbel"/>
        <w:color w:val="404040"/>
        <w:sz w:val="16"/>
        <w:szCs w:val="16"/>
      </w:rPr>
      <w:t>dashboard</w:t>
    </w:r>
    <w:proofErr w:type="spellEnd"/>
    <w:r>
      <w:rPr>
        <w:rFonts w:ascii="Corbel" w:eastAsia="Corbel" w:hAnsi="Corbel" w:cs="Corbel"/>
        <w:color w:val="404040"/>
        <w:sz w:val="16"/>
        <w:szCs w:val="16"/>
      </w:rPr>
      <w:t xml:space="preserve"> (melléklet)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F532D"/>
    <w:multiLevelType w:val="hybridMultilevel"/>
    <w:tmpl w:val="3B7C544E"/>
    <w:lvl w:ilvl="0" w:tplc="851AB9B2">
      <w:start w:val="1"/>
      <w:numFmt w:val="bullet"/>
      <w:lvlText w:val="•"/>
      <w:lvlJc w:val="left"/>
      <w:pPr>
        <w:ind w:left="540" w:hanging="280"/>
      </w:pPr>
      <w:rPr>
        <w:color w:val="1E7A34"/>
      </w:rPr>
    </w:lvl>
    <w:lvl w:ilvl="1" w:tplc="558C3036">
      <w:numFmt w:val="decimal"/>
      <w:lvlText w:val=""/>
      <w:lvlJc w:val="left"/>
    </w:lvl>
    <w:lvl w:ilvl="2" w:tplc="D1C4E0E2">
      <w:numFmt w:val="decimal"/>
      <w:lvlText w:val=""/>
      <w:lvlJc w:val="left"/>
    </w:lvl>
    <w:lvl w:ilvl="3" w:tplc="00B0B6E4">
      <w:numFmt w:val="decimal"/>
      <w:lvlText w:val=""/>
      <w:lvlJc w:val="left"/>
    </w:lvl>
    <w:lvl w:ilvl="4" w:tplc="CDA8519E">
      <w:numFmt w:val="decimal"/>
      <w:lvlText w:val=""/>
      <w:lvlJc w:val="left"/>
    </w:lvl>
    <w:lvl w:ilvl="5" w:tplc="B3F2D606">
      <w:numFmt w:val="decimal"/>
      <w:lvlText w:val=""/>
      <w:lvlJc w:val="left"/>
    </w:lvl>
    <w:lvl w:ilvl="6" w:tplc="443C1BA2">
      <w:numFmt w:val="decimal"/>
      <w:lvlText w:val=""/>
      <w:lvlJc w:val="left"/>
    </w:lvl>
    <w:lvl w:ilvl="7" w:tplc="55A2791E">
      <w:numFmt w:val="decimal"/>
      <w:lvlText w:val=""/>
      <w:lvlJc w:val="left"/>
    </w:lvl>
    <w:lvl w:ilvl="8" w:tplc="D9729456">
      <w:numFmt w:val="decimal"/>
      <w:lvlText w:val=""/>
      <w:lvlJc w:val="left"/>
    </w:lvl>
  </w:abstractNum>
  <w:abstractNum w:abstractNumId="1" w15:restartNumberingAfterBreak="0">
    <w:nsid w:val="48B04641"/>
    <w:multiLevelType w:val="hybridMultilevel"/>
    <w:tmpl w:val="ED347D5C"/>
    <w:lvl w:ilvl="0" w:tplc="C592182A">
      <w:start w:val="1"/>
      <w:numFmt w:val="bullet"/>
      <w:lvlText w:val="●"/>
      <w:lvlJc w:val="left"/>
      <w:pPr>
        <w:ind w:left="720" w:hanging="360"/>
      </w:pPr>
    </w:lvl>
    <w:lvl w:ilvl="1" w:tplc="5ED6D53E">
      <w:start w:val="1"/>
      <w:numFmt w:val="bullet"/>
      <w:lvlText w:val="○"/>
      <w:lvlJc w:val="left"/>
      <w:pPr>
        <w:ind w:left="1440" w:hanging="360"/>
      </w:pPr>
    </w:lvl>
    <w:lvl w:ilvl="2" w:tplc="4FE210D0">
      <w:start w:val="1"/>
      <w:numFmt w:val="bullet"/>
      <w:lvlText w:val="■"/>
      <w:lvlJc w:val="left"/>
      <w:pPr>
        <w:ind w:left="2160" w:hanging="360"/>
      </w:pPr>
    </w:lvl>
    <w:lvl w:ilvl="3" w:tplc="56E0316C">
      <w:start w:val="1"/>
      <w:numFmt w:val="bullet"/>
      <w:lvlText w:val="●"/>
      <w:lvlJc w:val="left"/>
      <w:pPr>
        <w:ind w:left="2880" w:hanging="360"/>
      </w:pPr>
    </w:lvl>
    <w:lvl w:ilvl="4" w:tplc="7BDE7EE8">
      <w:start w:val="1"/>
      <w:numFmt w:val="bullet"/>
      <w:lvlText w:val="○"/>
      <w:lvlJc w:val="left"/>
      <w:pPr>
        <w:ind w:left="3600" w:hanging="360"/>
      </w:pPr>
    </w:lvl>
    <w:lvl w:ilvl="5" w:tplc="F0A6D0BA">
      <w:start w:val="1"/>
      <w:numFmt w:val="bullet"/>
      <w:lvlText w:val="■"/>
      <w:lvlJc w:val="left"/>
      <w:pPr>
        <w:ind w:left="4320" w:hanging="360"/>
      </w:pPr>
    </w:lvl>
    <w:lvl w:ilvl="6" w:tplc="F662B106">
      <w:start w:val="1"/>
      <w:numFmt w:val="bullet"/>
      <w:lvlText w:val="●"/>
      <w:lvlJc w:val="left"/>
      <w:pPr>
        <w:ind w:left="5040" w:hanging="360"/>
      </w:pPr>
    </w:lvl>
    <w:lvl w:ilvl="7" w:tplc="D45EC18E">
      <w:start w:val="1"/>
      <w:numFmt w:val="bullet"/>
      <w:lvlText w:val="●"/>
      <w:lvlJc w:val="left"/>
      <w:pPr>
        <w:ind w:left="5760" w:hanging="360"/>
      </w:pPr>
    </w:lvl>
    <w:lvl w:ilvl="8" w:tplc="DB980C40">
      <w:start w:val="1"/>
      <w:numFmt w:val="bullet"/>
      <w:lvlText w:val="●"/>
      <w:lvlJc w:val="left"/>
      <w:pPr>
        <w:ind w:left="6480" w:hanging="360"/>
      </w:pPr>
    </w:lvl>
  </w:abstractNum>
  <w:num w:numId="1" w16cid:durableId="295529606">
    <w:abstractNumId w:val="1"/>
    <w:lvlOverride w:ilvl="0">
      <w:startOverride w:val="1"/>
    </w:lvlOverride>
  </w:num>
  <w:num w:numId="2" w16cid:durableId="9905975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68"/>
    <w:rsid w:val="00620E68"/>
    <w:rsid w:val="00626F2E"/>
    <w:rsid w:val="00750FE6"/>
    <w:rsid w:val="00AC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D014"/>
  <w15:docId w15:val="{FB456DA6-E270-412D-A138-03576D5C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B2B2B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spacing w:before="300" w:after="140"/>
      <w:outlineLvl w:val="0"/>
    </w:pPr>
    <w:rPr>
      <w:rFonts w:ascii="Corbel" w:eastAsia="Corbel" w:hAnsi="Corbel" w:cs="Corbel"/>
      <w:b/>
      <w:bCs/>
      <w:color w:val="1E7A34"/>
      <w:sz w:val="28"/>
      <w:szCs w:val="28"/>
    </w:rPr>
  </w:style>
  <w:style w:type="paragraph" w:styleId="Cmsor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Cmsor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Kiemels21">
    <w:name w:val="Kiemelés 2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  <w:style w:type="character" w:styleId="Vgjegyzet-hivatkozs">
    <w:name w:val="endnote reference"/>
    <w:uiPriority w:val="99"/>
    <w:semiHidden/>
    <w:unhideWhenUsed/>
    <w:rPr>
      <w:vertAlign w:val="superscript"/>
    </w:rPr>
  </w:style>
  <w:style w:type="paragraph" w:styleId="Vgjegyzetszvege">
    <w:name w:val="endnote text"/>
    <w:link w:val="VgjegyzetszvegeChar"/>
    <w:uiPriority w:val="99"/>
    <w:semiHidden/>
    <w:unhideWhenUsed/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Versenyképességi mérési keret és KPI-dashboard</dc:title>
  <dc:creator>MAGYAR FENNTARTHATÓSÁGI KÖZPONT Alapítvány</dc:creator>
  <cp:lastModifiedBy>Tibor</cp:lastModifiedBy>
  <cp:revision>2</cp:revision>
  <dcterms:created xsi:type="dcterms:W3CDTF">2026-06-06T21:45:00Z</dcterms:created>
  <dcterms:modified xsi:type="dcterms:W3CDTF">2026-06-07T09:18:00Z</dcterms:modified>
</cp:coreProperties>
</file>